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C20F" w14:textId="7ED4D718" w:rsidR="00F92ED0" w:rsidRDefault="00F92ED0" w:rsidP="00F92ED0">
      <w:pPr>
        <w:spacing w:after="0" w:line="240" w:lineRule="auto"/>
        <w:jc w:val="center"/>
        <w:rPr>
          <w:rFonts w:eastAsia="Times New Roman" w:cstheme="minorHAnsi"/>
          <w:b/>
          <w:color w:val="000D2D"/>
          <w:sz w:val="32"/>
          <w:szCs w:val="32"/>
        </w:rPr>
      </w:pPr>
      <w:r>
        <w:rPr>
          <w:rFonts w:cstheme="minorHAnsi"/>
          <w:noProof/>
          <w:color w:val="000D2D"/>
          <w:lang w:eastAsia="en-GB"/>
        </w:rPr>
        <w:drawing>
          <wp:inline distT="0" distB="0" distL="0" distR="0" wp14:anchorId="00AB3BDE" wp14:editId="094A78FB">
            <wp:extent cx="216217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876425"/>
                    </a:xfrm>
                    <a:prstGeom prst="rect">
                      <a:avLst/>
                    </a:prstGeom>
                    <a:noFill/>
                    <a:ln>
                      <a:noFill/>
                    </a:ln>
                  </pic:spPr>
                </pic:pic>
              </a:graphicData>
            </a:graphic>
          </wp:inline>
        </w:drawing>
      </w:r>
      <w:r>
        <w:rPr>
          <w:rFonts w:eastAsia="Times New Roman" w:cstheme="minorHAnsi"/>
          <w:b/>
          <w:color w:val="000D2D"/>
          <w:sz w:val="32"/>
          <w:szCs w:val="32"/>
        </w:rPr>
        <w:br/>
      </w:r>
    </w:p>
    <w:p w14:paraId="16BCA333" w14:textId="397B2936" w:rsidR="005623DD" w:rsidRPr="00F92ED0" w:rsidRDefault="004979AC" w:rsidP="00F92ED0">
      <w:pPr>
        <w:spacing w:after="0" w:line="240" w:lineRule="auto"/>
        <w:jc w:val="center"/>
        <w:rPr>
          <w:rFonts w:eastAsia="Calibri" w:cstheme="minorHAnsi"/>
          <w:b/>
          <w:color w:val="000D2D"/>
          <w:sz w:val="32"/>
          <w:szCs w:val="32"/>
        </w:rPr>
      </w:pPr>
      <w:r>
        <w:rPr>
          <w:rFonts w:eastAsia="Times New Roman" w:cstheme="minorHAnsi"/>
          <w:b/>
          <w:color w:val="000D2D"/>
          <w:sz w:val="32"/>
          <w:szCs w:val="32"/>
        </w:rPr>
        <w:t xml:space="preserve">ORDER AND </w:t>
      </w:r>
      <w:r w:rsidR="008F725B" w:rsidRPr="00F92ED0">
        <w:rPr>
          <w:rFonts w:eastAsia="Times New Roman" w:cstheme="minorHAnsi"/>
          <w:b/>
          <w:color w:val="000D2D"/>
          <w:sz w:val="32"/>
          <w:szCs w:val="32"/>
        </w:rPr>
        <w:t>BEST EXECUTION REPORT 201</w:t>
      </w:r>
      <w:r w:rsidR="0049663C">
        <w:rPr>
          <w:rFonts w:eastAsia="Times New Roman" w:cstheme="minorHAnsi"/>
          <w:b/>
          <w:color w:val="000D2D"/>
          <w:sz w:val="32"/>
          <w:szCs w:val="32"/>
        </w:rPr>
        <w:t>9</w:t>
      </w:r>
    </w:p>
    <w:p w14:paraId="5DCD8689" w14:textId="77777777" w:rsidR="005623DD" w:rsidRPr="009B32C3" w:rsidRDefault="005623DD" w:rsidP="005623DD">
      <w:pPr>
        <w:tabs>
          <w:tab w:val="left" w:pos="10440"/>
        </w:tabs>
        <w:spacing w:after="0" w:line="240" w:lineRule="auto"/>
        <w:ind w:left="2160" w:right="-192" w:hanging="2160"/>
        <w:rPr>
          <w:rFonts w:ascii="Calibri" w:eastAsia="Calibri" w:hAnsi="Calibri" w:cs="Calibri"/>
          <w:b/>
          <w:color w:val="000D2D"/>
        </w:rPr>
      </w:pPr>
    </w:p>
    <w:p w14:paraId="30AF19A6" w14:textId="4AFAB0E9" w:rsidR="005623DD" w:rsidRPr="009B32C3" w:rsidRDefault="005623DD" w:rsidP="00F92ED0">
      <w:pPr>
        <w:tabs>
          <w:tab w:val="left" w:pos="10440"/>
        </w:tabs>
        <w:spacing w:after="0" w:line="276" w:lineRule="auto"/>
        <w:ind w:left="2160" w:right="-192" w:hanging="2160"/>
        <w:rPr>
          <w:rFonts w:ascii="Calibri" w:eastAsia="Calibri" w:hAnsi="Calibri" w:cs="Calibri"/>
          <w:color w:val="000D2D"/>
        </w:rPr>
      </w:pPr>
      <w:r w:rsidRPr="009B32C3">
        <w:rPr>
          <w:rFonts w:ascii="Calibri" w:eastAsia="Calibri" w:hAnsi="Calibri" w:cs="Calibri"/>
          <w:b/>
          <w:color w:val="000D2D"/>
        </w:rPr>
        <w:t>SUMMARY:</w:t>
      </w:r>
      <w:r w:rsidRPr="009B32C3">
        <w:rPr>
          <w:rFonts w:ascii="Calibri" w:eastAsia="Calibri" w:hAnsi="Calibri" w:cs="Calibri"/>
          <w:color w:val="000D2D"/>
        </w:rPr>
        <w:tab/>
        <w:t xml:space="preserve">This document represents </w:t>
      </w:r>
      <w:r w:rsidR="00D75F53">
        <w:rPr>
          <w:rFonts w:ascii="Calibri" w:eastAsia="Calibri" w:hAnsi="Calibri" w:cs="Calibri"/>
          <w:color w:val="000D2D"/>
        </w:rPr>
        <w:t>Hottinger &amp; Co. Limited</w:t>
      </w:r>
      <w:r w:rsidRPr="009B32C3">
        <w:rPr>
          <w:rFonts w:ascii="Calibri" w:eastAsia="Calibri" w:hAnsi="Calibri" w:cs="Calibri"/>
          <w:color w:val="000D2D"/>
        </w:rPr>
        <w:t xml:space="preserve"> </w:t>
      </w:r>
      <w:r w:rsidRPr="00B944AF">
        <w:rPr>
          <w:rFonts w:ascii="Calibri" w:eastAsia="Calibri" w:hAnsi="Calibri" w:cs="Calibri"/>
          <w:color w:val="000D2D"/>
        </w:rPr>
        <w:t>(“</w:t>
      </w:r>
      <w:r w:rsidR="00D75F53">
        <w:rPr>
          <w:rFonts w:ascii="Calibri" w:eastAsia="Calibri" w:hAnsi="Calibri" w:cs="Calibri"/>
          <w:color w:val="000D2D"/>
        </w:rPr>
        <w:t>HottCo</w:t>
      </w:r>
      <w:r w:rsidRPr="00B944AF">
        <w:rPr>
          <w:rFonts w:ascii="Calibri" w:eastAsia="Calibri" w:hAnsi="Calibri" w:cs="Calibri"/>
          <w:color w:val="000D2D"/>
        </w:rPr>
        <w:t>”)</w:t>
      </w:r>
      <w:r w:rsidRPr="009B32C3">
        <w:rPr>
          <w:rFonts w:ascii="Calibri" w:eastAsia="Calibri" w:hAnsi="Calibri" w:cs="Calibri"/>
          <w:color w:val="000D2D"/>
        </w:rPr>
        <w:t xml:space="preserve"> </w:t>
      </w:r>
      <w:r w:rsidR="00B63104">
        <w:rPr>
          <w:rFonts w:ascii="Calibri" w:eastAsia="Calibri" w:hAnsi="Calibri" w:cs="Calibri"/>
          <w:color w:val="000D2D"/>
        </w:rPr>
        <w:t>-</w:t>
      </w:r>
      <w:r w:rsidR="00B944AF">
        <w:rPr>
          <w:rFonts w:ascii="Calibri" w:eastAsia="Calibri" w:hAnsi="Calibri" w:cs="Calibri"/>
          <w:color w:val="000D2D"/>
        </w:rPr>
        <w:t xml:space="preserve"> </w:t>
      </w:r>
      <w:r w:rsidR="00B63104">
        <w:rPr>
          <w:rFonts w:ascii="Calibri" w:eastAsia="Calibri" w:hAnsi="Calibri" w:cs="Calibri"/>
          <w:color w:val="000D2D"/>
        </w:rPr>
        <w:t xml:space="preserve">FRN 208737 - </w:t>
      </w:r>
      <w:r w:rsidRPr="009B32C3">
        <w:rPr>
          <w:rFonts w:ascii="Calibri" w:eastAsia="Calibri" w:hAnsi="Calibri" w:cs="Calibri"/>
          <w:color w:val="000D2D"/>
        </w:rPr>
        <w:t>Best Execution Report for 201</w:t>
      </w:r>
      <w:r w:rsidR="00CA3B43">
        <w:rPr>
          <w:rFonts w:ascii="Calibri" w:eastAsia="Calibri" w:hAnsi="Calibri" w:cs="Calibri"/>
          <w:color w:val="000D2D"/>
        </w:rPr>
        <w:t>9</w:t>
      </w:r>
      <w:r w:rsidRPr="009B32C3">
        <w:rPr>
          <w:rFonts w:ascii="Calibri" w:eastAsia="Calibri" w:hAnsi="Calibri" w:cs="Calibri"/>
          <w:color w:val="000D2D"/>
        </w:rPr>
        <w:t xml:space="preserve"> (the “</w:t>
      </w:r>
      <w:r w:rsidRPr="00B63104">
        <w:rPr>
          <w:rFonts w:ascii="Calibri" w:eastAsia="Calibri" w:hAnsi="Calibri" w:cs="Calibri"/>
          <w:color w:val="000D2D"/>
        </w:rPr>
        <w:t>201</w:t>
      </w:r>
      <w:r w:rsidR="00CA3B43">
        <w:rPr>
          <w:rFonts w:ascii="Calibri" w:eastAsia="Calibri" w:hAnsi="Calibri" w:cs="Calibri"/>
          <w:color w:val="000D2D"/>
        </w:rPr>
        <w:t>9</w:t>
      </w:r>
      <w:r w:rsidRPr="00B63104">
        <w:rPr>
          <w:rFonts w:ascii="Calibri" w:eastAsia="Calibri" w:hAnsi="Calibri" w:cs="Calibri"/>
          <w:color w:val="000D2D"/>
        </w:rPr>
        <w:t xml:space="preserve"> Execution Report</w:t>
      </w:r>
      <w:r w:rsidR="00B63104">
        <w:rPr>
          <w:rFonts w:ascii="Calibri" w:eastAsia="Calibri" w:hAnsi="Calibri" w:cs="Calibri"/>
          <w:color w:val="000D2D"/>
        </w:rPr>
        <w:t>”)</w:t>
      </w:r>
    </w:p>
    <w:p w14:paraId="4877D404" w14:textId="2BA03D75" w:rsidR="005623DD" w:rsidRPr="009B32C3" w:rsidRDefault="00B63104" w:rsidP="00F92ED0">
      <w:pPr>
        <w:spacing w:after="0" w:line="276" w:lineRule="auto"/>
        <w:ind w:left="2160" w:hanging="2160"/>
        <w:rPr>
          <w:rFonts w:ascii="Calibri" w:eastAsia="Calibri" w:hAnsi="Calibri" w:cs="Calibri"/>
          <w:color w:val="000D2D"/>
        </w:rPr>
      </w:pPr>
      <w:r>
        <w:rPr>
          <w:rFonts w:ascii="Calibri" w:eastAsia="Calibri" w:hAnsi="Calibri" w:cs="Calibri"/>
          <w:b/>
          <w:color w:val="000D2D"/>
        </w:rPr>
        <w:t>OWNER</w:t>
      </w:r>
      <w:r w:rsidR="005623DD" w:rsidRPr="009B32C3">
        <w:rPr>
          <w:rFonts w:ascii="Calibri" w:eastAsia="Calibri" w:hAnsi="Calibri" w:cs="Calibri"/>
          <w:b/>
          <w:color w:val="000D2D"/>
        </w:rPr>
        <w:t>:</w:t>
      </w:r>
      <w:r>
        <w:rPr>
          <w:rFonts w:ascii="Calibri" w:eastAsia="Calibri" w:hAnsi="Calibri" w:cs="Calibri"/>
          <w:color w:val="000D2D"/>
        </w:rPr>
        <w:tab/>
      </w:r>
      <w:r w:rsidR="005623DD" w:rsidRPr="009B32C3">
        <w:rPr>
          <w:rFonts w:ascii="Calibri" w:eastAsia="Calibri" w:hAnsi="Calibri" w:cs="Calibri"/>
          <w:color w:val="000D2D"/>
        </w:rPr>
        <w:t>Chief Executive Officer (“</w:t>
      </w:r>
      <w:r w:rsidR="005623DD" w:rsidRPr="00F92ED0">
        <w:rPr>
          <w:rFonts w:ascii="Calibri" w:eastAsia="Calibri" w:hAnsi="Calibri" w:cs="Calibri"/>
          <w:color w:val="000D2D"/>
        </w:rPr>
        <w:t>CEO</w:t>
      </w:r>
      <w:r w:rsidR="005623DD" w:rsidRPr="009B32C3">
        <w:rPr>
          <w:rFonts w:ascii="Calibri" w:eastAsia="Calibri" w:hAnsi="Calibri" w:cs="Calibri"/>
          <w:color w:val="000D2D"/>
        </w:rPr>
        <w:t>”)</w:t>
      </w:r>
      <w:r w:rsidR="00F92ED0">
        <w:rPr>
          <w:rFonts w:ascii="Calibri" w:eastAsia="Calibri" w:hAnsi="Calibri" w:cs="Calibri"/>
          <w:color w:val="000D2D"/>
        </w:rPr>
        <w:t>,</w:t>
      </w:r>
      <w:r w:rsidR="005623DD" w:rsidRPr="009B32C3">
        <w:rPr>
          <w:rFonts w:ascii="Calibri" w:eastAsia="Calibri" w:hAnsi="Calibri" w:cs="Calibri"/>
          <w:color w:val="000D2D"/>
        </w:rPr>
        <w:t xml:space="preserve"> the Compliance Oversight Officer (“</w:t>
      </w:r>
      <w:r w:rsidR="005623DD" w:rsidRPr="00F92ED0">
        <w:rPr>
          <w:rFonts w:ascii="Calibri" w:eastAsia="Calibri" w:hAnsi="Calibri" w:cs="Calibri"/>
          <w:color w:val="000D2D"/>
        </w:rPr>
        <w:t>CO</w:t>
      </w:r>
      <w:r w:rsidR="00F92ED0">
        <w:rPr>
          <w:rFonts w:ascii="Calibri" w:eastAsia="Calibri" w:hAnsi="Calibri" w:cs="Calibri"/>
          <w:color w:val="000D2D"/>
        </w:rPr>
        <w:t>”)</w:t>
      </w:r>
      <w:r w:rsidR="005623DD" w:rsidRPr="009B32C3">
        <w:rPr>
          <w:rFonts w:ascii="Calibri" w:eastAsia="Calibri" w:hAnsi="Calibri" w:cs="Calibri"/>
          <w:color w:val="000D2D"/>
        </w:rPr>
        <w:t xml:space="preserve"> and the Board of Directors (the </w:t>
      </w:r>
      <w:r w:rsidR="005623DD" w:rsidRPr="00F92ED0">
        <w:rPr>
          <w:rFonts w:ascii="Calibri" w:eastAsia="Calibri" w:hAnsi="Calibri" w:cs="Calibri"/>
          <w:color w:val="000D2D"/>
        </w:rPr>
        <w:t>“Board</w:t>
      </w:r>
      <w:r w:rsidR="00F92ED0">
        <w:rPr>
          <w:rFonts w:ascii="Calibri" w:eastAsia="Calibri" w:hAnsi="Calibri" w:cs="Calibri"/>
          <w:color w:val="000D2D"/>
        </w:rPr>
        <w:t>”)</w:t>
      </w:r>
    </w:p>
    <w:p w14:paraId="380D67B5" w14:textId="744F759A" w:rsidR="005623DD" w:rsidRPr="009B32C3" w:rsidRDefault="00F92ED0" w:rsidP="00F92ED0">
      <w:pPr>
        <w:spacing w:after="0" w:line="276" w:lineRule="auto"/>
        <w:ind w:left="2160" w:hanging="2160"/>
        <w:rPr>
          <w:rFonts w:ascii="Calibri" w:eastAsia="Calibri" w:hAnsi="Calibri" w:cs="Calibri"/>
          <w:color w:val="000D2D"/>
        </w:rPr>
      </w:pPr>
      <w:r>
        <w:rPr>
          <w:rFonts w:ascii="Calibri" w:eastAsia="Calibri" w:hAnsi="Calibri" w:cs="Calibri"/>
          <w:b/>
          <w:color w:val="000D2D"/>
        </w:rPr>
        <w:t>EFFECTIVE DATE</w:t>
      </w:r>
      <w:r w:rsidR="005623DD" w:rsidRPr="009B32C3">
        <w:rPr>
          <w:rFonts w:ascii="Calibri" w:eastAsia="Calibri" w:hAnsi="Calibri" w:cs="Calibri"/>
          <w:b/>
          <w:color w:val="000D2D"/>
        </w:rPr>
        <w:t>:</w:t>
      </w:r>
      <w:r w:rsidR="005623DD" w:rsidRPr="009B32C3">
        <w:rPr>
          <w:rFonts w:ascii="Calibri" w:eastAsia="Calibri" w:hAnsi="Calibri" w:cs="Calibri"/>
          <w:color w:val="000D2D"/>
        </w:rPr>
        <w:tab/>
      </w:r>
      <w:r w:rsidR="00CA3B43">
        <w:rPr>
          <w:rFonts w:ascii="Calibri" w:eastAsia="Calibri" w:hAnsi="Calibri" w:cs="Calibri"/>
          <w:color w:val="000D2D"/>
        </w:rPr>
        <w:t>June</w:t>
      </w:r>
      <w:r w:rsidR="005623DD" w:rsidRPr="009B32C3">
        <w:rPr>
          <w:rFonts w:ascii="Calibri" w:eastAsia="Calibri" w:hAnsi="Calibri" w:cs="Calibri"/>
          <w:color w:val="000D2D"/>
        </w:rPr>
        <w:t xml:space="preserve"> 20</w:t>
      </w:r>
      <w:r w:rsidR="00CA3B43">
        <w:rPr>
          <w:rFonts w:ascii="Calibri" w:eastAsia="Calibri" w:hAnsi="Calibri" w:cs="Calibri"/>
          <w:color w:val="000D2D"/>
        </w:rPr>
        <w:t>20</w:t>
      </w:r>
    </w:p>
    <w:p w14:paraId="755064D1" w14:textId="2D46580E" w:rsidR="005623DD" w:rsidRPr="009B32C3" w:rsidRDefault="00F92ED0" w:rsidP="00F92ED0">
      <w:pPr>
        <w:spacing w:after="0" w:line="276" w:lineRule="auto"/>
        <w:ind w:left="2160" w:hanging="2160"/>
        <w:rPr>
          <w:rFonts w:ascii="Calibri" w:eastAsia="Calibri" w:hAnsi="Calibri" w:cs="Calibri"/>
          <w:color w:val="000D2D"/>
        </w:rPr>
      </w:pPr>
      <w:r>
        <w:rPr>
          <w:rFonts w:ascii="Calibri" w:eastAsia="Calibri" w:hAnsi="Calibri" w:cs="Calibri"/>
          <w:b/>
          <w:color w:val="000D2D"/>
        </w:rPr>
        <w:t>STATUS</w:t>
      </w:r>
      <w:r w:rsidR="005623DD" w:rsidRPr="009B32C3">
        <w:rPr>
          <w:rFonts w:ascii="Calibri" w:eastAsia="Calibri" w:hAnsi="Calibri" w:cs="Calibri"/>
          <w:b/>
          <w:color w:val="000D2D"/>
        </w:rPr>
        <w:t>:</w:t>
      </w:r>
      <w:r>
        <w:rPr>
          <w:rFonts w:ascii="Calibri" w:eastAsia="Calibri" w:hAnsi="Calibri" w:cs="Calibri"/>
          <w:color w:val="000D2D"/>
        </w:rPr>
        <w:tab/>
        <w:t>Live</w:t>
      </w:r>
    </w:p>
    <w:p w14:paraId="28388C81" w14:textId="25385FC0" w:rsidR="005623DD" w:rsidRPr="009B32C3" w:rsidRDefault="00F92ED0" w:rsidP="00F92ED0">
      <w:pPr>
        <w:spacing w:after="0" w:line="276" w:lineRule="auto"/>
        <w:ind w:left="2160" w:hanging="2160"/>
        <w:rPr>
          <w:rFonts w:ascii="Calibri" w:eastAsia="Calibri" w:hAnsi="Calibri" w:cs="Calibri"/>
          <w:color w:val="000D2D"/>
        </w:rPr>
      </w:pPr>
      <w:r>
        <w:rPr>
          <w:rFonts w:ascii="Calibri" w:eastAsia="Calibri" w:hAnsi="Calibri" w:cs="Calibri"/>
          <w:b/>
          <w:color w:val="000D2D"/>
        </w:rPr>
        <w:t>APPROVED BY</w:t>
      </w:r>
      <w:r w:rsidR="005623DD" w:rsidRPr="009B32C3">
        <w:rPr>
          <w:rFonts w:ascii="Calibri" w:eastAsia="Calibri" w:hAnsi="Calibri" w:cs="Calibri"/>
          <w:b/>
          <w:color w:val="000D2D"/>
        </w:rPr>
        <w:t>:</w:t>
      </w:r>
      <w:r>
        <w:rPr>
          <w:rFonts w:ascii="Calibri" w:eastAsia="Calibri" w:hAnsi="Calibri" w:cs="Calibri"/>
          <w:color w:val="000D2D"/>
        </w:rPr>
        <w:tab/>
      </w:r>
      <w:r w:rsidR="00D75F53">
        <w:rPr>
          <w:rFonts w:ascii="Calibri" w:eastAsia="Calibri" w:hAnsi="Calibri" w:cs="Calibri"/>
          <w:color w:val="000D2D"/>
        </w:rPr>
        <w:t>HottCo</w:t>
      </w:r>
      <w:r w:rsidRPr="003A2F0D">
        <w:rPr>
          <w:rFonts w:ascii="Calibri" w:eastAsia="Calibri" w:hAnsi="Calibri" w:cs="Calibri"/>
          <w:color w:val="000D2D"/>
        </w:rPr>
        <w:t>’s Board in</w:t>
      </w:r>
      <w:r w:rsidR="005623DD" w:rsidRPr="003A2F0D">
        <w:rPr>
          <w:rFonts w:ascii="Calibri" w:eastAsia="Calibri" w:hAnsi="Calibri" w:cs="Calibri"/>
          <w:color w:val="000D2D"/>
        </w:rPr>
        <w:t xml:space="preserve"> </w:t>
      </w:r>
      <w:r w:rsidR="0049663C" w:rsidRPr="000A70CC">
        <w:rPr>
          <w:rFonts w:ascii="Calibri" w:eastAsia="Calibri" w:hAnsi="Calibri" w:cs="Calibri"/>
          <w:color w:val="000D2D"/>
        </w:rPr>
        <w:t>June</w:t>
      </w:r>
      <w:r w:rsidR="005623DD" w:rsidRPr="003A2F0D">
        <w:rPr>
          <w:rFonts w:ascii="Calibri" w:eastAsia="Calibri" w:hAnsi="Calibri" w:cs="Calibri"/>
          <w:color w:val="000D2D"/>
        </w:rPr>
        <w:t xml:space="preserve"> 20</w:t>
      </w:r>
      <w:r w:rsidR="0049663C">
        <w:rPr>
          <w:rFonts w:ascii="Calibri" w:eastAsia="Calibri" w:hAnsi="Calibri" w:cs="Calibri"/>
          <w:color w:val="000D2D"/>
        </w:rPr>
        <w:t>20</w:t>
      </w:r>
      <w:r w:rsidR="005623DD" w:rsidRPr="009B32C3">
        <w:rPr>
          <w:rFonts w:ascii="Calibri" w:eastAsia="Calibri" w:hAnsi="Calibri" w:cs="Calibri"/>
          <w:color w:val="000D2D"/>
        </w:rPr>
        <w:t xml:space="preserve">  </w:t>
      </w:r>
    </w:p>
    <w:p w14:paraId="1C72FDF8" w14:textId="360B41B2" w:rsidR="005623DD" w:rsidRDefault="005623DD" w:rsidP="005623DD">
      <w:pPr>
        <w:spacing w:after="0" w:line="240" w:lineRule="auto"/>
        <w:ind w:left="2160" w:hanging="2160"/>
        <w:rPr>
          <w:rFonts w:ascii="Calibri" w:eastAsia="Calibri" w:hAnsi="Calibri" w:cs="Calibri"/>
          <w:color w:val="000D2D"/>
        </w:rPr>
      </w:pPr>
    </w:p>
    <w:p w14:paraId="68E415F0" w14:textId="77777777" w:rsidR="00F92ED0" w:rsidRPr="009B32C3" w:rsidRDefault="00F92ED0" w:rsidP="005623DD">
      <w:pPr>
        <w:spacing w:after="0" w:line="240" w:lineRule="auto"/>
        <w:ind w:left="2160" w:hanging="2160"/>
        <w:rPr>
          <w:rFonts w:ascii="Calibri" w:eastAsia="Calibri" w:hAnsi="Calibri" w:cs="Calibri"/>
          <w:color w:val="000D2D"/>
        </w:rPr>
      </w:pPr>
    </w:p>
    <w:p w14:paraId="0285C30D" w14:textId="299FF537" w:rsidR="005623DD" w:rsidRDefault="005623DD" w:rsidP="005623DD">
      <w:pPr>
        <w:spacing w:after="0" w:line="240" w:lineRule="auto"/>
        <w:rPr>
          <w:rFonts w:ascii="Calibri" w:eastAsia="Calibri" w:hAnsi="Calibri" w:cs="Calibri"/>
          <w:b/>
          <w:color w:val="000D2D"/>
        </w:rPr>
      </w:pPr>
      <w:r w:rsidRPr="009B32C3">
        <w:rPr>
          <w:rFonts w:ascii="Calibri" w:eastAsia="Calibri" w:hAnsi="Calibri" w:cs="Calibri"/>
          <w:b/>
          <w:color w:val="000D2D"/>
        </w:rPr>
        <w:t>MODIFICATION HISTORY</w:t>
      </w:r>
      <w:r w:rsidR="00F92ED0">
        <w:rPr>
          <w:rFonts w:ascii="Calibri" w:eastAsia="Calibri" w:hAnsi="Calibri" w:cs="Calibri"/>
          <w:b/>
          <w:color w:val="000D2D"/>
        </w:rPr>
        <w:t>:</w:t>
      </w:r>
    </w:p>
    <w:p w14:paraId="788F0F9A" w14:textId="77777777" w:rsidR="00F92ED0" w:rsidRPr="009B32C3" w:rsidRDefault="00F92ED0" w:rsidP="005623DD">
      <w:pPr>
        <w:spacing w:after="0" w:line="240" w:lineRule="auto"/>
        <w:rPr>
          <w:rFonts w:ascii="Calibri" w:eastAsia="Calibri" w:hAnsi="Calibri" w:cs="Calibri"/>
          <w:b/>
          <w:color w:val="000D2D"/>
        </w:rPr>
      </w:pPr>
    </w:p>
    <w:tbl>
      <w:tblPr>
        <w:tblStyle w:val="TableGrid"/>
        <w:tblW w:w="14029" w:type="dxa"/>
        <w:tblLook w:val="04A0" w:firstRow="1" w:lastRow="0" w:firstColumn="1" w:lastColumn="0" w:noHBand="0" w:noVBand="1"/>
      </w:tblPr>
      <w:tblGrid>
        <w:gridCol w:w="2739"/>
        <w:gridCol w:w="2739"/>
        <w:gridCol w:w="2739"/>
        <w:gridCol w:w="5812"/>
      </w:tblGrid>
      <w:tr w:rsidR="009B32C3" w:rsidRPr="009B32C3" w14:paraId="6DEEB5FF" w14:textId="77777777" w:rsidTr="00F92ED0">
        <w:trPr>
          <w:trHeight w:hRule="exact" w:val="397"/>
        </w:trPr>
        <w:tc>
          <w:tcPr>
            <w:tcW w:w="2739" w:type="dxa"/>
            <w:shd w:val="clear" w:color="auto" w:fill="000D2D"/>
            <w:vAlign w:val="center"/>
          </w:tcPr>
          <w:p w14:paraId="609886CA" w14:textId="4B1076D0" w:rsidR="005623DD" w:rsidRPr="00F92ED0" w:rsidRDefault="00B63104" w:rsidP="00F92ED0">
            <w:pPr>
              <w:spacing w:before="63"/>
              <w:ind w:left="103"/>
              <w:jc w:val="center"/>
              <w:rPr>
                <w:rFonts w:eastAsia="Calibri" w:cstheme="minorHAnsi"/>
                <w:b/>
                <w:color w:val="ABA9AA"/>
                <w:lang w:val="en-US"/>
              </w:rPr>
            </w:pPr>
            <w:r w:rsidRPr="00F92ED0">
              <w:rPr>
                <w:rFonts w:eastAsia="Calibri" w:cstheme="minorHAnsi"/>
                <w:b/>
                <w:color w:val="ABA9AA"/>
                <w:lang w:val="en-US"/>
              </w:rPr>
              <w:t>Version</w:t>
            </w:r>
          </w:p>
        </w:tc>
        <w:tc>
          <w:tcPr>
            <w:tcW w:w="2739" w:type="dxa"/>
            <w:shd w:val="clear" w:color="auto" w:fill="000D2D"/>
            <w:vAlign w:val="center"/>
          </w:tcPr>
          <w:p w14:paraId="5677CEA6" w14:textId="4995F514" w:rsidR="005623DD" w:rsidRPr="00F92ED0" w:rsidRDefault="00B63104" w:rsidP="00F92ED0">
            <w:pPr>
              <w:spacing w:before="63"/>
              <w:ind w:left="103"/>
              <w:jc w:val="center"/>
              <w:rPr>
                <w:rFonts w:eastAsia="Calibri" w:cstheme="minorHAnsi"/>
                <w:b/>
                <w:color w:val="ABA9AA"/>
                <w:lang w:val="en-US"/>
              </w:rPr>
            </w:pPr>
            <w:r w:rsidRPr="00F92ED0">
              <w:rPr>
                <w:rFonts w:eastAsia="Calibri" w:cstheme="minorHAnsi"/>
                <w:b/>
                <w:color w:val="ABA9AA"/>
                <w:lang w:val="en-US"/>
              </w:rPr>
              <w:t>Date Approved</w:t>
            </w:r>
          </w:p>
        </w:tc>
        <w:tc>
          <w:tcPr>
            <w:tcW w:w="2739" w:type="dxa"/>
            <w:shd w:val="clear" w:color="auto" w:fill="000D2D"/>
            <w:vAlign w:val="center"/>
          </w:tcPr>
          <w:p w14:paraId="4D3F89ED" w14:textId="61A665DF" w:rsidR="005623DD" w:rsidRPr="00F92ED0" w:rsidRDefault="00B63104" w:rsidP="00F92ED0">
            <w:pPr>
              <w:spacing w:before="63"/>
              <w:ind w:left="103"/>
              <w:jc w:val="center"/>
              <w:rPr>
                <w:rFonts w:eastAsia="Calibri" w:cstheme="minorHAnsi"/>
                <w:b/>
                <w:color w:val="ABA9AA"/>
                <w:lang w:val="en-US"/>
              </w:rPr>
            </w:pPr>
            <w:r w:rsidRPr="00F92ED0">
              <w:rPr>
                <w:rFonts w:eastAsia="Calibri" w:cstheme="minorHAnsi"/>
                <w:b/>
                <w:color w:val="ABA9AA"/>
                <w:lang w:val="en-US"/>
              </w:rPr>
              <w:t>Reviewed By</w:t>
            </w:r>
          </w:p>
        </w:tc>
        <w:tc>
          <w:tcPr>
            <w:tcW w:w="5812" w:type="dxa"/>
            <w:shd w:val="clear" w:color="auto" w:fill="000D2D"/>
            <w:vAlign w:val="center"/>
          </w:tcPr>
          <w:p w14:paraId="199B17DA" w14:textId="1CB14500" w:rsidR="005623DD" w:rsidRPr="00F92ED0" w:rsidRDefault="00B63104" w:rsidP="00F92ED0">
            <w:pPr>
              <w:spacing w:before="63"/>
              <w:ind w:left="103"/>
              <w:jc w:val="center"/>
              <w:rPr>
                <w:rFonts w:eastAsia="Calibri" w:cstheme="minorHAnsi"/>
                <w:b/>
                <w:color w:val="ABA9AA"/>
                <w:lang w:val="en-US"/>
              </w:rPr>
            </w:pPr>
            <w:r w:rsidRPr="00F92ED0">
              <w:rPr>
                <w:rFonts w:eastAsia="Calibri" w:cstheme="minorHAnsi"/>
                <w:b/>
                <w:color w:val="ABA9AA"/>
                <w:lang w:val="en-US"/>
              </w:rPr>
              <w:t>Changes</w:t>
            </w:r>
          </w:p>
        </w:tc>
      </w:tr>
      <w:tr w:rsidR="009B32C3" w:rsidRPr="009B32C3" w14:paraId="68A014EA" w14:textId="77777777" w:rsidTr="00F92ED0">
        <w:trPr>
          <w:trHeight w:hRule="exact" w:val="397"/>
        </w:trPr>
        <w:tc>
          <w:tcPr>
            <w:tcW w:w="2739" w:type="dxa"/>
            <w:vAlign w:val="center"/>
          </w:tcPr>
          <w:p w14:paraId="79C8F37D" w14:textId="046D713F" w:rsidR="005623DD" w:rsidRPr="003A2F0D" w:rsidRDefault="005623DD" w:rsidP="00F92ED0">
            <w:pPr>
              <w:spacing w:before="63"/>
              <w:ind w:left="103"/>
              <w:jc w:val="center"/>
              <w:rPr>
                <w:rFonts w:eastAsia="Calibri" w:cstheme="minorHAnsi"/>
                <w:color w:val="000D2D"/>
                <w:lang w:val="en-US"/>
              </w:rPr>
            </w:pPr>
            <w:r w:rsidRPr="003A2F0D">
              <w:rPr>
                <w:rFonts w:eastAsia="Calibri" w:cstheme="minorHAnsi"/>
                <w:color w:val="000D2D"/>
                <w:lang w:val="en-US"/>
              </w:rPr>
              <w:t>v.0</w:t>
            </w:r>
            <w:r w:rsidR="00CA3B43">
              <w:rPr>
                <w:rFonts w:eastAsia="Calibri" w:cstheme="minorHAnsi"/>
                <w:color w:val="000D2D"/>
                <w:lang w:val="en-US"/>
              </w:rPr>
              <w:t>6</w:t>
            </w:r>
            <w:r w:rsidRPr="003A2F0D">
              <w:rPr>
                <w:rFonts w:eastAsia="Calibri" w:cstheme="minorHAnsi"/>
                <w:color w:val="000D2D"/>
                <w:lang w:val="en-US"/>
              </w:rPr>
              <w:t>.20</w:t>
            </w:r>
            <w:r w:rsidR="00CA3B43">
              <w:rPr>
                <w:rFonts w:eastAsia="Calibri" w:cstheme="minorHAnsi"/>
                <w:color w:val="000D2D"/>
                <w:lang w:val="en-US"/>
              </w:rPr>
              <w:t>20</w:t>
            </w:r>
            <w:r w:rsidRPr="003A2F0D">
              <w:rPr>
                <w:rFonts w:eastAsia="Calibri" w:cstheme="minorHAnsi"/>
                <w:color w:val="000D2D"/>
                <w:lang w:val="en-US"/>
              </w:rPr>
              <w:t>.01</w:t>
            </w:r>
          </w:p>
        </w:tc>
        <w:tc>
          <w:tcPr>
            <w:tcW w:w="2739" w:type="dxa"/>
            <w:vAlign w:val="center"/>
          </w:tcPr>
          <w:p w14:paraId="2D320C5B" w14:textId="253EC4A0" w:rsidR="005623DD" w:rsidRPr="003A2F0D" w:rsidRDefault="0049663C" w:rsidP="00F92ED0">
            <w:pPr>
              <w:spacing w:before="63"/>
              <w:ind w:left="103"/>
              <w:jc w:val="center"/>
              <w:rPr>
                <w:rFonts w:eastAsia="Calibri" w:cstheme="minorHAnsi"/>
                <w:color w:val="000D2D"/>
                <w:lang w:val="en-US"/>
              </w:rPr>
            </w:pPr>
            <w:r>
              <w:rPr>
                <w:rFonts w:eastAsia="Calibri" w:cstheme="minorHAnsi"/>
                <w:color w:val="000D2D"/>
                <w:lang w:val="en-US"/>
              </w:rPr>
              <w:t>June</w:t>
            </w:r>
            <w:r w:rsidR="005623DD" w:rsidRPr="003A2F0D">
              <w:rPr>
                <w:rFonts w:eastAsia="Calibri" w:cstheme="minorHAnsi"/>
                <w:color w:val="000D2D"/>
                <w:lang w:val="en-US"/>
              </w:rPr>
              <w:t xml:space="preserve"> 20</w:t>
            </w:r>
            <w:r>
              <w:rPr>
                <w:rFonts w:eastAsia="Calibri" w:cstheme="minorHAnsi"/>
                <w:color w:val="000D2D"/>
                <w:lang w:val="en-US"/>
              </w:rPr>
              <w:t>20</w:t>
            </w:r>
          </w:p>
        </w:tc>
        <w:tc>
          <w:tcPr>
            <w:tcW w:w="2739" w:type="dxa"/>
            <w:vAlign w:val="center"/>
          </w:tcPr>
          <w:p w14:paraId="7410C1F7" w14:textId="06D2E9CF" w:rsidR="005623DD" w:rsidRPr="003A2F0D" w:rsidRDefault="005623DD" w:rsidP="00F92ED0">
            <w:pPr>
              <w:spacing w:before="63"/>
              <w:ind w:left="103"/>
              <w:jc w:val="center"/>
              <w:rPr>
                <w:rFonts w:eastAsia="Calibri" w:cstheme="minorHAnsi"/>
                <w:color w:val="000D2D"/>
                <w:lang w:val="en-US"/>
              </w:rPr>
            </w:pPr>
            <w:r w:rsidRPr="003A2F0D">
              <w:rPr>
                <w:rFonts w:eastAsia="Calibri" w:cstheme="minorHAnsi"/>
                <w:color w:val="000D2D"/>
                <w:lang w:val="en-US"/>
              </w:rPr>
              <w:t>CEO and CO</w:t>
            </w:r>
          </w:p>
        </w:tc>
        <w:tc>
          <w:tcPr>
            <w:tcW w:w="5812" w:type="dxa"/>
            <w:vAlign w:val="center"/>
          </w:tcPr>
          <w:p w14:paraId="41EE28CD" w14:textId="77777777" w:rsidR="005623DD" w:rsidRPr="00F92ED0" w:rsidRDefault="005623DD" w:rsidP="00F92ED0">
            <w:pPr>
              <w:spacing w:before="63"/>
              <w:ind w:left="103"/>
              <w:jc w:val="center"/>
              <w:rPr>
                <w:rFonts w:eastAsia="Calibri" w:cstheme="minorHAnsi"/>
                <w:color w:val="000D2D"/>
                <w:lang w:val="en-US"/>
              </w:rPr>
            </w:pPr>
            <w:r w:rsidRPr="003A2F0D">
              <w:rPr>
                <w:rFonts w:eastAsia="Calibri" w:cstheme="minorHAnsi"/>
                <w:color w:val="000D2D"/>
                <w:lang w:val="en-US"/>
              </w:rPr>
              <w:t>New Report</w:t>
            </w:r>
          </w:p>
        </w:tc>
      </w:tr>
    </w:tbl>
    <w:p w14:paraId="604F4A0B" w14:textId="77777777" w:rsidR="005623DD" w:rsidRPr="009B32C3" w:rsidRDefault="005623DD" w:rsidP="005623DD">
      <w:pPr>
        <w:spacing w:after="0" w:line="240" w:lineRule="auto"/>
        <w:rPr>
          <w:rFonts w:ascii="Calibri" w:eastAsia="Calibri" w:hAnsi="Calibri" w:cs="Calibri"/>
          <w:b/>
          <w:color w:val="000D2D"/>
        </w:rPr>
      </w:pPr>
    </w:p>
    <w:p w14:paraId="7408CA9B" w14:textId="759E3E06" w:rsidR="00F92ED0" w:rsidRDefault="00F92ED0" w:rsidP="005623DD">
      <w:pPr>
        <w:spacing w:after="0" w:line="240" w:lineRule="auto"/>
        <w:rPr>
          <w:rFonts w:ascii="Calibri" w:eastAsia="Calibri" w:hAnsi="Calibri" w:cs="Calibri"/>
          <w:b/>
          <w:color w:val="000D2D"/>
        </w:rPr>
      </w:pPr>
    </w:p>
    <w:p w14:paraId="52BE589A" w14:textId="77777777" w:rsidR="00CA3B43" w:rsidRPr="00CA3B43" w:rsidRDefault="00CA3B43" w:rsidP="00CA3B43">
      <w:pPr>
        <w:rPr>
          <w:rFonts w:ascii="Calibri" w:eastAsia="Calibri" w:hAnsi="Calibri" w:cs="Calibri"/>
        </w:rPr>
      </w:pPr>
    </w:p>
    <w:p w14:paraId="5CD87D8F" w14:textId="5C9C5229" w:rsidR="005623DD" w:rsidRPr="009B32C3" w:rsidRDefault="005623DD" w:rsidP="005623DD">
      <w:pPr>
        <w:spacing w:after="0" w:line="240" w:lineRule="auto"/>
        <w:rPr>
          <w:rFonts w:ascii="Calibri" w:eastAsia="Calibri" w:hAnsi="Calibri" w:cs="Calibri"/>
          <w:b/>
          <w:color w:val="000D2D"/>
        </w:rPr>
      </w:pPr>
      <w:r w:rsidRPr="009B32C3">
        <w:rPr>
          <w:rFonts w:ascii="Calibri" w:eastAsia="Calibri" w:hAnsi="Calibri" w:cs="Calibri"/>
          <w:b/>
          <w:color w:val="000D2D"/>
        </w:rPr>
        <w:lastRenderedPageBreak/>
        <w:t>CONTENTS</w:t>
      </w:r>
      <w:r w:rsidR="00F92ED0">
        <w:rPr>
          <w:rFonts w:ascii="Calibri" w:eastAsia="Calibri" w:hAnsi="Calibri" w:cs="Calibri"/>
          <w:b/>
          <w:color w:val="000D2D"/>
        </w:rPr>
        <w:t>:</w:t>
      </w:r>
      <w:r w:rsidR="00F92ED0">
        <w:rPr>
          <w:rFonts w:ascii="Calibri" w:eastAsia="Calibri" w:hAnsi="Calibri" w:cs="Calibri"/>
          <w:b/>
          <w:color w:val="000D2D"/>
        </w:rPr>
        <w:br/>
      </w:r>
    </w:p>
    <w:p w14:paraId="7855B08F" w14:textId="77777777" w:rsidR="005623DD" w:rsidRPr="009B32C3" w:rsidRDefault="005623DD" w:rsidP="00FD024E">
      <w:pPr>
        <w:numPr>
          <w:ilvl w:val="0"/>
          <w:numId w:val="1"/>
        </w:numPr>
        <w:suppressAutoHyphens/>
        <w:spacing w:after="0" w:line="240" w:lineRule="auto"/>
        <w:ind w:left="714" w:hanging="357"/>
        <w:contextualSpacing/>
        <w:jc w:val="both"/>
        <w:rPr>
          <w:rFonts w:ascii="Calibri" w:eastAsia="Calibri" w:hAnsi="Calibri" w:cs="Calibri"/>
          <w:b/>
          <w:color w:val="000D2D"/>
          <w:lang w:val="en-US" w:eastAsia="ar-SA"/>
        </w:rPr>
      </w:pPr>
      <w:r w:rsidRPr="009B32C3">
        <w:rPr>
          <w:rFonts w:ascii="Calibri" w:eastAsia="Calibri" w:hAnsi="Calibri" w:cs="Calibri"/>
          <w:b/>
          <w:color w:val="000D2D"/>
          <w:lang w:val="en-US" w:eastAsia="ar-SA"/>
        </w:rPr>
        <w:t>Overview</w:t>
      </w:r>
    </w:p>
    <w:p w14:paraId="0A636772" w14:textId="77777777" w:rsidR="005623DD" w:rsidRPr="009B32C3" w:rsidRDefault="000E2F3C" w:rsidP="00FD024E">
      <w:pPr>
        <w:numPr>
          <w:ilvl w:val="0"/>
          <w:numId w:val="1"/>
        </w:numPr>
        <w:suppressAutoHyphens/>
        <w:spacing w:after="0" w:line="240" w:lineRule="auto"/>
        <w:ind w:left="714" w:hanging="357"/>
        <w:contextualSpacing/>
        <w:jc w:val="both"/>
        <w:rPr>
          <w:rFonts w:ascii="Calibri" w:eastAsia="Calibri" w:hAnsi="Calibri" w:cs="Calibri"/>
          <w:b/>
          <w:color w:val="000D2D"/>
          <w:lang w:val="en-US" w:eastAsia="ar-SA"/>
        </w:rPr>
      </w:pPr>
      <w:r w:rsidRPr="009B32C3">
        <w:rPr>
          <w:rFonts w:ascii="Calibri" w:eastAsia="Calibri" w:hAnsi="Calibri" w:cs="Calibri"/>
          <w:b/>
          <w:color w:val="000D2D"/>
          <w:lang w:val="en-US" w:eastAsia="ar-SA"/>
        </w:rPr>
        <w:t>Order Execution Policy</w:t>
      </w:r>
    </w:p>
    <w:p w14:paraId="1720818C" w14:textId="5D22D175" w:rsidR="00FD024E" w:rsidRPr="00FD024E" w:rsidRDefault="00255862" w:rsidP="00FD024E">
      <w:pPr>
        <w:pStyle w:val="ListParagraph"/>
        <w:numPr>
          <w:ilvl w:val="0"/>
          <w:numId w:val="1"/>
        </w:numPr>
        <w:suppressAutoHyphens/>
        <w:spacing w:after="0" w:line="240" w:lineRule="auto"/>
        <w:jc w:val="both"/>
        <w:rPr>
          <w:rFonts w:ascii="Calibri" w:eastAsia="Calibri" w:hAnsi="Calibri" w:cs="Calibri"/>
          <w:b/>
          <w:color w:val="000D2D"/>
          <w:lang w:val="en-US" w:eastAsia="ar-SA"/>
        </w:rPr>
      </w:pPr>
      <w:r w:rsidRPr="00FD024E">
        <w:rPr>
          <w:rFonts w:ascii="Calibri" w:eastAsia="Calibri" w:hAnsi="Calibri" w:cs="Calibri"/>
          <w:b/>
          <w:color w:val="000D2D"/>
          <w:lang w:val="en-US" w:eastAsia="ar-SA"/>
        </w:rPr>
        <w:t xml:space="preserve">Regulatory Standards 28 (RTS 28) </w:t>
      </w:r>
    </w:p>
    <w:p w14:paraId="6A4A08A0" w14:textId="55168CC2" w:rsidR="00255862" w:rsidRPr="00FD024E" w:rsidRDefault="00255862" w:rsidP="00FD024E">
      <w:pPr>
        <w:pStyle w:val="ListParagraph"/>
        <w:numPr>
          <w:ilvl w:val="0"/>
          <w:numId w:val="1"/>
        </w:numPr>
        <w:suppressAutoHyphens/>
        <w:spacing w:after="0" w:line="240" w:lineRule="auto"/>
        <w:jc w:val="both"/>
        <w:rPr>
          <w:rFonts w:ascii="Calibri" w:eastAsia="Calibri" w:hAnsi="Calibri" w:cs="Calibri"/>
          <w:b/>
          <w:color w:val="000D2D"/>
          <w:lang w:val="en-US" w:eastAsia="ar-SA"/>
        </w:rPr>
      </w:pPr>
      <w:r w:rsidRPr="00FD024E">
        <w:rPr>
          <w:rFonts w:ascii="Calibri" w:eastAsia="Calibri" w:hAnsi="Calibri" w:cs="Calibri"/>
          <w:b/>
          <w:color w:val="000D2D"/>
          <w:lang w:val="en-US" w:eastAsia="ar-SA"/>
        </w:rPr>
        <w:t xml:space="preserve">Top Five Brokers/Counterparties </w:t>
      </w:r>
      <w:r w:rsidR="00FD024E" w:rsidRPr="00FD024E">
        <w:rPr>
          <w:rFonts w:ascii="Calibri" w:eastAsia="Calibri" w:hAnsi="Calibri" w:cs="Calibri"/>
          <w:b/>
          <w:color w:val="000D2D"/>
          <w:lang w:val="en-US" w:eastAsia="ar-SA"/>
        </w:rPr>
        <w:t>b</w:t>
      </w:r>
      <w:r w:rsidRPr="00FD024E">
        <w:rPr>
          <w:rFonts w:ascii="Calibri" w:eastAsia="Calibri" w:hAnsi="Calibri" w:cs="Calibri"/>
          <w:b/>
          <w:color w:val="000D2D"/>
          <w:lang w:val="en-US" w:eastAsia="ar-SA"/>
        </w:rPr>
        <w:t>y Class of Financial Instrument</w:t>
      </w:r>
    </w:p>
    <w:p w14:paraId="46936ECF" w14:textId="7DEB420E" w:rsidR="005623DD" w:rsidRPr="00255862" w:rsidRDefault="005623DD" w:rsidP="00255862">
      <w:pPr>
        <w:pStyle w:val="ListParagraph"/>
        <w:suppressAutoHyphens/>
        <w:spacing w:after="200" w:line="240" w:lineRule="auto"/>
        <w:ind w:left="714"/>
        <w:jc w:val="both"/>
        <w:rPr>
          <w:rFonts w:ascii="Calibri" w:eastAsia="Calibri" w:hAnsi="Calibri" w:cs="Calibri"/>
          <w:b/>
          <w:color w:val="000D2D"/>
          <w:lang w:val="en-US" w:eastAsia="ar-SA"/>
        </w:rPr>
      </w:pPr>
    </w:p>
    <w:p w14:paraId="210ECD66" w14:textId="587D5AAE" w:rsidR="005623DD" w:rsidRPr="009B32C3" w:rsidRDefault="005623DD" w:rsidP="005623DD">
      <w:pPr>
        <w:pStyle w:val="ListParagraph"/>
        <w:numPr>
          <w:ilvl w:val="0"/>
          <w:numId w:val="2"/>
        </w:numPr>
        <w:spacing w:after="0" w:line="240" w:lineRule="auto"/>
        <w:ind w:left="567" w:hanging="567"/>
        <w:rPr>
          <w:rFonts w:ascii="Calibri" w:eastAsia="Calibri" w:hAnsi="Calibri" w:cs="Calibri"/>
          <w:b/>
          <w:color w:val="000D2D"/>
          <w:sz w:val="24"/>
          <w:szCs w:val="24"/>
        </w:rPr>
      </w:pPr>
      <w:r w:rsidRPr="009B32C3">
        <w:rPr>
          <w:rFonts w:ascii="Calibri" w:eastAsia="Calibri" w:hAnsi="Calibri" w:cs="Calibri"/>
          <w:b/>
          <w:color w:val="000D2D"/>
          <w:sz w:val="24"/>
          <w:szCs w:val="24"/>
        </w:rPr>
        <w:t>OVERVIEW</w:t>
      </w:r>
      <w:r w:rsidR="008A118F">
        <w:rPr>
          <w:rFonts w:ascii="Calibri" w:eastAsia="Calibri" w:hAnsi="Calibri" w:cs="Calibri"/>
          <w:b/>
          <w:color w:val="000D2D"/>
          <w:sz w:val="24"/>
          <w:szCs w:val="24"/>
        </w:rPr>
        <w:br/>
      </w:r>
    </w:p>
    <w:p w14:paraId="4FEA7F7F" w14:textId="24F7E5CE" w:rsidR="005623DD" w:rsidRPr="008A118F" w:rsidRDefault="005623DD" w:rsidP="008A118F">
      <w:pPr>
        <w:pStyle w:val="ListParagraph"/>
        <w:numPr>
          <w:ilvl w:val="1"/>
          <w:numId w:val="24"/>
        </w:numPr>
        <w:spacing w:after="0" w:line="240" w:lineRule="auto"/>
        <w:ind w:right="-193"/>
        <w:jc w:val="both"/>
        <w:rPr>
          <w:rFonts w:eastAsia="Times New Roman" w:cstheme="minorHAnsi"/>
          <w:color w:val="000D2D"/>
          <w:szCs w:val="24"/>
        </w:rPr>
      </w:pPr>
      <w:r w:rsidRPr="008A118F">
        <w:rPr>
          <w:rFonts w:ascii="Calibri" w:eastAsia="Calibri" w:hAnsi="Calibri" w:cs="Calibri"/>
          <w:b/>
          <w:color w:val="000D2D"/>
        </w:rPr>
        <w:t>BACKGROUND</w:t>
      </w:r>
    </w:p>
    <w:p w14:paraId="722A02E0" w14:textId="6CF86616" w:rsidR="009B58F8" w:rsidRPr="009B32C3" w:rsidRDefault="00D75F53" w:rsidP="009B58F8">
      <w:pPr>
        <w:spacing w:after="0" w:line="240" w:lineRule="auto"/>
        <w:ind w:right="-193"/>
        <w:jc w:val="both"/>
        <w:rPr>
          <w:rFonts w:eastAsia="Times New Roman" w:cstheme="minorHAnsi"/>
          <w:color w:val="000D2D"/>
          <w:szCs w:val="24"/>
        </w:rPr>
      </w:pPr>
      <w:r>
        <w:rPr>
          <w:rFonts w:ascii="Calibri" w:eastAsia="Calibri" w:hAnsi="Calibri" w:cs="Calibri"/>
          <w:color w:val="000D2D"/>
        </w:rPr>
        <w:t>Hottinger &amp; Co. Limited</w:t>
      </w:r>
      <w:r w:rsidR="005623DD" w:rsidRPr="009B32C3">
        <w:rPr>
          <w:rFonts w:ascii="Calibri" w:eastAsia="Calibri" w:hAnsi="Calibri" w:cs="Calibri"/>
          <w:color w:val="000D2D"/>
        </w:rPr>
        <w:t xml:space="preserve"> (“</w:t>
      </w:r>
      <w:r>
        <w:rPr>
          <w:rFonts w:ascii="Calibri" w:eastAsia="Calibri" w:hAnsi="Calibri" w:cs="Calibri"/>
          <w:b/>
          <w:color w:val="000D2D"/>
        </w:rPr>
        <w:t>HottCo</w:t>
      </w:r>
      <w:r w:rsidR="005623DD" w:rsidRPr="009B32C3">
        <w:rPr>
          <w:rFonts w:ascii="Calibri" w:eastAsia="Calibri" w:hAnsi="Calibri" w:cs="Calibri"/>
          <w:color w:val="000D2D"/>
        </w:rPr>
        <w:t>”) is authorised and regulated by the Financial Conduct Authority (“</w:t>
      </w:r>
      <w:r w:rsidR="005623DD" w:rsidRPr="009B32C3">
        <w:rPr>
          <w:rFonts w:ascii="Calibri" w:eastAsia="Calibri" w:hAnsi="Calibri" w:cs="Calibri"/>
          <w:b/>
          <w:color w:val="000D2D"/>
        </w:rPr>
        <w:t>FCA</w:t>
      </w:r>
      <w:r w:rsidR="005623DD" w:rsidRPr="009B32C3">
        <w:rPr>
          <w:rFonts w:ascii="Calibri" w:eastAsia="Calibri" w:hAnsi="Calibri" w:cs="Calibri"/>
          <w:color w:val="000D2D"/>
        </w:rPr>
        <w:t xml:space="preserve">”). </w:t>
      </w:r>
      <w:r>
        <w:rPr>
          <w:rFonts w:ascii="Calibri" w:eastAsia="Calibri" w:hAnsi="Calibri" w:cs="Calibri"/>
          <w:color w:val="000D2D"/>
        </w:rPr>
        <w:t>HottCo</w:t>
      </w:r>
      <w:r w:rsidR="008F725B" w:rsidRPr="009B32C3">
        <w:rPr>
          <w:rFonts w:ascii="Calibri" w:eastAsia="Calibri" w:hAnsi="Calibri" w:cs="Calibri"/>
          <w:color w:val="000D2D"/>
        </w:rPr>
        <w:t xml:space="preserve"> has </w:t>
      </w:r>
      <w:r w:rsidR="008F725B" w:rsidRPr="009B32C3">
        <w:rPr>
          <w:rFonts w:eastAsia="Times New Roman" w:cstheme="minorHAnsi"/>
          <w:color w:val="000D2D"/>
          <w:szCs w:val="24"/>
        </w:rPr>
        <w:t xml:space="preserve">an obligation, </w:t>
      </w:r>
      <w:r w:rsidR="005623DD" w:rsidRPr="009B32C3">
        <w:rPr>
          <w:rFonts w:ascii="Calibri" w:eastAsia="Calibri" w:hAnsi="Calibri" w:cs="Calibri"/>
          <w:color w:val="000D2D"/>
        </w:rPr>
        <w:t xml:space="preserve">in accordance with </w:t>
      </w:r>
      <w:r w:rsidR="008F725B" w:rsidRPr="009B32C3">
        <w:rPr>
          <w:rFonts w:ascii="Calibri" w:eastAsia="Calibri" w:hAnsi="Calibri" w:cs="Calibri"/>
          <w:color w:val="000D2D"/>
        </w:rPr>
        <w:t xml:space="preserve">its </w:t>
      </w:r>
      <w:r w:rsidR="005623DD" w:rsidRPr="009B32C3">
        <w:rPr>
          <w:rFonts w:ascii="Calibri" w:eastAsia="Calibri" w:hAnsi="Calibri" w:cs="Calibri"/>
          <w:color w:val="000D2D"/>
        </w:rPr>
        <w:t>regulator, the F</w:t>
      </w:r>
      <w:r w:rsidR="008F725B" w:rsidRPr="009B32C3">
        <w:rPr>
          <w:rFonts w:ascii="Calibri" w:eastAsia="Calibri" w:hAnsi="Calibri" w:cs="Calibri"/>
          <w:color w:val="000D2D"/>
        </w:rPr>
        <w:t>CA</w:t>
      </w:r>
      <w:r w:rsidR="005623DD" w:rsidRPr="009B32C3">
        <w:rPr>
          <w:rFonts w:ascii="Calibri" w:eastAsia="Calibri" w:hAnsi="Calibri" w:cs="Calibri"/>
          <w:color w:val="000D2D"/>
        </w:rPr>
        <w:t>, the FCA Rules (the “</w:t>
      </w:r>
      <w:r w:rsidR="005623DD" w:rsidRPr="009B32C3">
        <w:rPr>
          <w:rFonts w:ascii="Calibri" w:eastAsia="Calibri" w:hAnsi="Calibri" w:cs="Calibri"/>
          <w:b/>
          <w:color w:val="000D2D"/>
        </w:rPr>
        <w:t>FCA Rules</w:t>
      </w:r>
      <w:r w:rsidR="005623DD" w:rsidRPr="009B32C3">
        <w:rPr>
          <w:rFonts w:ascii="Calibri" w:eastAsia="Calibri" w:hAnsi="Calibri" w:cs="Calibri"/>
          <w:color w:val="000D2D"/>
        </w:rPr>
        <w:t>”), the revised Markets in Financial Instruments Directive 2014/65/EU (“</w:t>
      </w:r>
      <w:r w:rsidR="005623DD" w:rsidRPr="009B32C3">
        <w:rPr>
          <w:rFonts w:ascii="Calibri" w:eastAsia="Calibri" w:hAnsi="Calibri" w:cs="Calibri"/>
          <w:b/>
          <w:color w:val="000D2D"/>
        </w:rPr>
        <w:t>MiFID II</w:t>
      </w:r>
      <w:r w:rsidR="005623DD" w:rsidRPr="009B32C3">
        <w:rPr>
          <w:rFonts w:ascii="Calibri" w:eastAsia="Calibri" w:hAnsi="Calibri" w:cs="Calibri"/>
          <w:color w:val="000D2D"/>
        </w:rPr>
        <w:t>”) and the new Markets in Financial Instruments Regulation (EU) No 600/2014 (“</w:t>
      </w:r>
      <w:r w:rsidR="005623DD" w:rsidRPr="009B32C3">
        <w:rPr>
          <w:rFonts w:ascii="Calibri" w:eastAsia="Calibri" w:hAnsi="Calibri" w:cs="Calibri"/>
          <w:b/>
          <w:color w:val="000D2D"/>
        </w:rPr>
        <w:t>MiFIR</w:t>
      </w:r>
      <w:r w:rsidR="005623DD" w:rsidRPr="009B32C3">
        <w:rPr>
          <w:rFonts w:ascii="Calibri" w:eastAsia="Calibri" w:hAnsi="Calibri" w:cs="Calibri"/>
          <w:color w:val="000D2D"/>
        </w:rPr>
        <w:t>”)</w:t>
      </w:r>
      <w:r w:rsidR="008F725B" w:rsidRPr="009B32C3">
        <w:rPr>
          <w:rFonts w:ascii="Calibri" w:eastAsia="Calibri" w:hAnsi="Calibri" w:cs="Calibri"/>
          <w:color w:val="000D2D"/>
        </w:rPr>
        <w:t xml:space="preserve"> and under Article 27 (1) of MiFID II and COBS 11.2A.2R of the FCA Rules</w:t>
      </w:r>
      <w:r w:rsidR="005623DD" w:rsidRPr="009B32C3">
        <w:rPr>
          <w:rFonts w:ascii="Calibri" w:eastAsia="Calibri" w:hAnsi="Calibri" w:cs="Calibri"/>
          <w:color w:val="000D2D"/>
        </w:rPr>
        <w:t xml:space="preserve">, </w:t>
      </w:r>
      <w:r w:rsidR="009B58F8" w:rsidRPr="009B32C3">
        <w:rPr>
          <w:rFonts w:eastAsia="Times New Roman" w:cstheme="minorHAnsi"/>
          <w:color w:val="000D2D"/>
          <w:szCs w:val="24"/>
        </w:rPr>
        <w:t>to execute orders on terms most favourable to its client. This means that the Firm must take all sufficient steps to obtain, when executing orders, the best possible results for its clients taking into account the execution factors. The execution factors to be taken into account are price, costs, speed, likelihood of execution and settlement, size, nature or any other consideration relevant to the execution of an order.</w:t>
      </w:r>
    </w:p>
    <w:p w14:paraId="50BD401D" w14:textId="77777777" w:rsidR="009B58F8" w:rsidRPr="009B32C3" w:rsidRDefault="009B58F8" w:rsidP="009B58F8">
      <w:pPr>
        <w:spacing w:after="0" w:line="240" w:lineRule="auto"/>
        <w:ind w:right="-193"/>
        <w:jc w:val="both"/>
        <w:rPr>
          <w:rFonts w:eastAsia="Times New Roman" w:cstheme="minorHAnsi"/>
          <w:color w:val="000D2D"/>
          <w:szCs w:val="24"/>
        </w:rPr>
      </w:pPr>
    </w:p>
    <w:p w14:paraId="07517261" w14:textId="435A2B30" w:rsidR="009B58F8" w:rsidRPr="009B32C3" w:rsidRDefault="009B58F8" w:rsidP="009B58F8">
      <w:pPr>
        <w:spacing w:after="0" w:line="240" w:lineRule="auto"/>
        <w:ind w:right="-193"/>
        <w:jc w:val="both"/>
        <w:rPr>
          <w:rFonts w:eastAsia="Times New Roman" w:cstheme="minorHAnsi"/>
          <w:color w:val="000D2D"/>
          <w:szCs w:val="24"/>
        </w:rPr>
      </w:pPr>
      <w:r w:rsidRPr="009B32C3">
        <w:rPr>
          <w:rFonts w:eastAsia="Times New Roman" w:cstheme="minorHAnsi"/>
          <w:color w:val="000D2D"/>
          <w:szCs w:val="24"/>
        </w:rPr>
        <w:t xml:space="preserve">Details of this are outlined in </w:t>
      </w:r>
      <w:r w:rsidR="00D75F53">
        <w:rPr>
          <w:rFonts w:eastAsia="Times New Roman" w:cstheme="minorHAnsi"/>
          <w:color w:val="000D2D"/>
          <w:szCs w:val="24"/>
        </w:rPr>
        <w:t>HottCo</w:t>
      </w:r>
      <w:r w:rsidRPr="009B32C3">
        <w:rPr>
          <w:rFonts w:eastAsia="Times New Roman" w:cstheme="minorHAnsi"/>
          <w:color w:val="000D2D"/>
          <w:szCs w:val="24"/>
        </w:rPr>
        <w:t xml:space="preserve">’s Order Execution Policy, which is published on the Hottinger Group </w:t>
      </w:r>
      <w:r w:rsidR="008F725B" w:rsidRPr="009B32C3">
        <w:rPr>
          <w:rFonts w:eastAsia="Times New Roman" w:cstheme="minorHAnsi"/>
          <w:color w:val="000D2D"/>
          <w:szCs w:val="24"/>
        </w:rPr>
        <w:t xml:space="preserve">website at </w:t>
      </w:r>
      <w:hyperlink r:id="rId9" w:history="1">
        <w:r w:rsidR="008F725B" w:rsidRPr="009B32C3">
          <w:rPr>
            <w:rStyle w:val="Hyperlink"/>
            <w:rFonts w:eastAsia="Times New Roman" w:cstheme="minorHAnsi"/>
            <w:color w:val="000D2D"/>
            <w:szCs w:val="24"/>
          </w:rPr>
          <w:t>www.hottinger.co.uk</w:t>
        </w:r>
      </w:hyperlink>
      <w:r w:rsidR="008F725B" w:rsidRPr="009B32C3">
        <w:rPr>
          <w:rFonts w:eastAsia="Times New Roman" w:cstheme="minorHAnsi"/>
          <w:color w:val="000D2D"/>
          <w:szCs w:val="24"/>
        </w:rPr>
        <w:t>.</w:t>
      </w:r>
    </w:p>
    <w:p w14:paraId="5A9D9E8C" w14:textId="77777777" w:rsidR="008F725B" w:rsidRPr="009B32C3" w:rsidRDefault="008F725B" w:rsidP="009B58F8">
      <w:pPr>
        <w:spacing w:after="0" w:line="240" w:lineRule="auto"/>
        <w:ind w:right="-193"/>
        <w:jc w:val="both"/>
        <w:rPr>
          <w:rFonts w:eastAsia="Times New Roman" w:cstheme="minorHAnsi"/>
          <w:color w:val="000D2D"/>
          <w:szCs w:val="24"/>
        </w:rPr>
      </w:pPr>
    </w:p>
    <w:p w14:paraId="6BD83A3F" w14:textId="16F24F47" w:rsidR="008F725B" w:rsidRPr="009B32C3" w:rsidRDefault="008F725B" w:rsidP="008F725B">
      <w:pPr>
        <w:spacing w:after="0" w:line="240" w:lineRule="auto"/>
        <w:ind w:right="-193"/>
        <w:jc w:val="both"/>
        <w:rPr>
          <w:rFonts w:eastAsia="Times New Roman" w:cstheme="minorHAnsi"/>
          <w:color w:val="000D2D"/>
          <w:szCs w:val="24"/>
        </w:rPr>
      </w:pPr>
      <w:r w:rsidRPr="009B32C3">
        <w:rPr>
          <w:rFonts w:eastAsia="Times New Roman" w:cstheme="minorHAnsi"/>
          <w:color w:val="000D2D"/>
          <w:szCs w:val="24"/>
        </w:rPr>
        <w:t xml:space="preserve">Furthermore, in accordance with Article 27(8) of MiFID II (and as set out in the FCA’s Rules, COBS 11.2A.32R (1) and (2)), </w:t>
      </w:r>
      <w:r w:rsidR="00D75F53">
        <w:rPr>
          <w:rFonts w:eastAsia="Times New Roman" w:cstheme="minorHAnsi"/>
          <w:color w:val="000D2D"/>
          <w:szCs w:val="24"/>
        </w:rPr>
        <w:t>HottCo</w:t>
      </w:r>
      <w:r w:rsidRPr="009B32C3">
        <w:rPr>
          <w:rFonts w:eastAsia="Times New Roman" w:cstheme="minorHAnsi"/>
          <w:color w:val="000D2D"/>
          <w:szCs w:val="24"/>
        </w:rPr>
        <w:t xml:space="preserve"> is obliged to be able to demonstrate to its clients, on request, that all trades have been executed in accordance with its Order Execution Policy. </w:t>
      </w:r>
    </w:p>
    <w:p w14:paraId="613F7779" w14:textId="77777777" w:rsidR="008F725B" w:rsidRPr="009B32C3" w:rsidRDefault="008F725B" w:rsidP="008F725B">
      <w:pPr>
        <w:spacing w:after="0" w:line="240" w:lineRule="auto"/>
        <w:ind w:right="-193"/>
        <w:jc w:val="both"/>
        <w:rPr>
          <w:rFonts w:eastAsia="Times New Roman" w:cstheme="minorHAnsi"/>
          <w:color w:val="000D2D"/>
          <w:szCs w:val="24"/>
        </w:rPr>
      </w:pPr>
    </w:p>
    <w:p w14:paraId="5AD74F12" w14:textId="6CC32FB4" w:rsidR="008F3956" w:rsidRPr="009B32C3" w:rsidRDefault="00D75F53" w:rsidP="008F3956">
      <w:pPr>
        <w:spacing w:after="0" w:line="240" w:lineRule="auto"/>
        <w:ind w:right="-193"/>
        <w:jc w:val="both"/>
        <w:rPr>
          <w:rFonts w:eastAsia="Times New Roman" w:cstheme="minorHAnsi"/>
          <w:color w:val="000D2D"/>
          <w:szCs w:val="24"/>
        </w:rPr>
      </w:pPr>
      <w:r>
        <w:rPr>
          <w:rFonts w:eastAsia="Times New Roman" w:cstheme="minorHAnsi"/>
          <w:color w:val="000D2D"/>
          <w:szCs w:val="24"/>
        </w:rPr>
        <w:t>HottCo</w:t>
      </w:r>
      <w:r w:rsidR="008F3956" w:rsidRPr="009B32C3">
        <w:rPr>
          <w:rFonts w:eastAsia="Times New Roman" w:cstheme="minorHAnsi"/>
          <w:color w:val="000D2D"/>
          <w:szCs w:val="24"/>
        </w:rPr>
        <w:t xml:space="preserve"> is also required to make certain annual disclosures on the top five execution venues/investment firms with whom it has placed orders for execution in the previous year. The specific information required to be disclosed is set out in the European Securities and Markets Authority’s (</w:t>
      </w:r>
      <w:r w:rsidR="008F3956" w:rsidRPr="009B32C3">
        <w:rPr>
          <w:rFonts w:eastAsia="Times New Roman" w:cstheme="minorHAnsi"/>
          <w:b/>
          <w:color w:val="000D2D"/>
          <w:szCs w:val="24"/>
        </w:rPr>
        <w:t>ESMA</w:t>
      </w:r>
      <w:r w:rsidR="008F3956" w:rsidRPr="009B32C3">
        <w:rPr>
          <w:rFonts w:eastAsia="Times New Roman" w:cstheme="minorHAnsi"/>
          <w:color w:val="000D2D"/>
          <w:szCs w:val="24"/>
        </w:rPr>
        <w:t>) Regulatory Technical Standards 28 (</w:t>
      </w:r>
      <w:r w:rsidR="008F3956" w:rsidRPr="009B32C3">
        <w:rPr>
          <w:rFonts w:eastAsia="Times New Roman" w:cstheme="minorHAnsi"/>
          <w:b/>
          <w:color w:val="000D2D"/>
          <w:szCs w:val="24"/>
        </w:rPr>
        <w:t>RTS 28</w:t>
      </w:r>
      <w:r w:rsidR="008F3956" w:rsidRPr="009B32C3">
        <w:rPr>
          <w:rFonts w:eastAsia="Times New Roman" w:cstheme="minorHAnsi"/>
          <w:color w:val="000D2D"/>
          <w:szCs w:val="24"/>
        </w:rPr>
        <w:t xml:space="preserve">) of MiFID II. </w:t>
      </w:r>
    </w:p>
    <w:p w14:paraId="110157E2" w14:textId="77777777" w:rsidR="008F3956" w:rsidRPr="009B32C3" w:rsidRDefault="008F3956" w:rsidP="008F3956">
      <w:pPr>
        <w:spacing w:after="0" w:line="240" w:lineRule="auto"/>
        <w:ind w:right="-193"/>
        <w:jc w:val="both"/>
        <w:rPr>
          <w:rFonts w:eastAsia="Times New Roman" w:cstheme="minorHAnsi"/>
          <w:color w:val="000D2D"/>
          <w:szCs w:val="24"/>
        </w:rPr>
      </w:pPr>
    </w:p>
    <w:p w14:paraId="7B95339E" w14:textId="24F6AF47" w:rsidR="008F725B" w:rsidRPr="009B32C3" w:rsidRDefault="008F3956" w:rsidP="008F3956">
      <w:pPr>
        <w:spacing w:after="0" w:line="240" w:lineRule="auto"/>
        <w:ind w:right="-193"/>
        <w:jc w:val="both"/>
        <w:rPr>
          <w:rFonts w:eastAsia="Times New Roman" w:cstheme="minorHAnsi"/>
          <w:color w:val="000D2D"/>
          <w:szCs w:val="24"/>
        </w:rPr>
      </w:pPr>
      <w:r w:rsidRPr="009B32C3">
        <w:rPr>
          <w:rFonts w:eastAsia="Times New Roman" w:cstheme="minorHAnsi"/>
          <w:color w:val="000D2D"/>
          <w:szCs w:val="24"/>
        </w:rPr>
        <w:t xml:space="preserve">RTS 28 requires </w:t>
      </w:r>
      <w:r w:rsidR="00D75F53">
        <w:rPr>
          <w:rFonts w:eastAsia="Times New Roman" w:cstheme="minorHAnsi"/>
          <w:color w:val="000D2D"/>
          <w:szCs w:val="24"/>
        </w:rPr>
        <w:t>HottCo</w:t>
      </w:r>
      <w:r w:rsidRPr="009B32C3">
        <w:rPr>
          <w:rFonts w:eastAsia="Times New Roman" w:cstheme="minorHAnsi"/>
          <w:color w:val="000D2D"/>
          <w:szCs w:val="24"/>
        </w:rPr>
        <w:t xml:space="preserve"> to complete specific templates for each class of financial instrument in which it places orders, setting out the percentage volume and number of orders of its top five brokers and information on the quality of the execution obtained. This information has to be broken down by retail clients and professional clients. </w:t>
      </w:r>
      <w:r w:rsidR="00D75F53">
        <w:rPr>
          <w:rFonts w:eastAsia="Times New Roman" w:cstheme="minorHAnsi"/>
          <w:color w:val="000D2D"/>
          <w:szCs w:val="24"/>
        </w:rPr>
        <w:t>HottCo</w:t>
      </w:r>
      <w:r w:rsidRPr="009B32C3">
        <w:rPr>
          <w:rFonts w:eastAsia="Times New Roman" w:cstheme="minorHAnsi"/>
          <w:color w:val="000D2D"/>
          <w:szCs w:val="24"/>
        </w:rPr>
        <w:t xml:space="preserve"> provides services to both retail and professional clients so the information provided is based upon orders executed on behalf of both retail and professional clients.</w:t>
      </w:r>
    </w:p>
    <w:p w14:paraId="06903B93" w14:textId="77777777" w:rsidR="008A118F" w:rsidRDefault="008A118F" w:rsidP="00C1179D">
      <w:pPr>
        <w:spacing w:after="0" w:line="240" w:lineRule="auto"/>
        <w:ind w:right="-193"/>
        <w:jc w:val="both"/>
        <w:rPr>
          <w:rFonts w:eastAsia="Times New Roman" w:cstheme="minorHAnsi"/>
          <w:color w:val="000D2D"/>
          <w:szCs w:val="24"/>
        </w:rPr>
      </w:pPr>
    </w:p>
    <w:p w14:paraId="2424B2CD" w14:textId="6B780011" w:rsidR="00C1179D" w:rsidRPr="009B32C3" w:rsidRDefault="00C1179D" w:rsidP="00C1179D">
      <w:pPr>
        <w:spacing w:after="0" w:line="240" w:lineRule="auto"/>
        <w:ind w:right="-193"/>
        <w:jc w:val="both"/>
        <w:rPr>
          <w:rFonts w:eastAsia="Times New Roman" w:cstheme="minorHAnsi"/>
          <w:color w:val="000D2D"/>
          <w:szCs w:val="24"/>
        </w:rPr>
      </w:pPr>
      <w:r w:rsidRPr="009B32C3">
        <w:rPr>
          <w:rFonts w:eastAsia="Times New Roman" w:cstheme="minorHAnsi"/>
          <w:color w:val="000D2D"/>
          <w:szCs w:val="24"/>
        </w:rPr>
        <w:lastRenderedPageBreak/>
        <w:t xml:space="preserve">In accordance with RTS 28, </w:t>
      </w:r>
      <w:r w:rsidR="00D75F53">
        <w:rPr>
          <w:rFonts w:eastAsia="Times New Roman" w:cstheme="minorHAnsi"/>
          <w:color w:val="000D2D"/>
          <w:szCs w:val="24"/>
        </w:rPr>
        <w:t>HottCo</w:t>
      </w:r>
      <w:r w:rsidRPr="009B32C3">
        <w:rPr>
          <w:rFonts w:eastAsia="Times New Roman" w:cstheme="minorHAnsi"/>
          <w:color w:val="000D2D"/>
          <w:szCs w:val="24"/>
        </w:rPr>
        <w:t xml:space="preserve"> is also required to provide information on any close links, conflicts of interest and common ownerships it might have with the investment firms with which it places orders. </w:t>
      </w:r>
      <w:r w:rsidR="00D75F53">
        <w:rPr>
          <w:rFonts w:eastAsia="Times New Roman" w:cstheme="minorHAnsi"/>
          <w:color w:val="000D2D"/>
          <w:szCs w:val="24"/>
        </w:rPr>
        <w:t>HottCo</w:t>
      </w:r>
      <w:r w:rsidRPr="009B32C3">
        <w:rPr>
          <w:rFonts w:eastAsia="Times New Roman" w:cstheme="minorHAnsi"/>
          <w:color w:val="000D2D"/>
          <w:szCs w:val="24"/>
        </w:rPr>
        <w:t xml:space="preserve"> can confirm that it has no close links, conflicts of interest nor common ownerships with its order execution facilities provided by the clearing, settlement and/or custody providers to its portfolio management services </w:t>
      </w:r>
      <w:r w:rsidR="00BC71BF" w:rsidRPr="009B32C3">
        <w:rPr>
          <w:rFonts w:eastAsia="Times New Roman" w:cstheme="minorHAnsi"/>
          <w:color w:val="000D2D"/>
          <w:szCs w:val="24"/>
        </w:rPr>
        <w:t xml:space="preserve">and/or its brokers </w:t>
      </w:r>
      <w:r w:rsidRPr="009B32C3">
        <w:rPr>
          <w:rFonts w:eastAsia="Times New Roman" w:cstheme="minorHAnsi"/>
          <w:color w:val="000D2D"/>
          <w:szCs w:val="24"/>
        </w:rPr>
        <w:t xml:space="preserve">as set out in </w:t>
      </w:r>
      <w:r w:rsidR="00D75F53">
        <w:rPr>
          <w:rFonts w:eastAsia="Times New Roman" w:cstheme="minorHAnsi"/>
          <w:color w:val="000D2D"/>
          <w:szCs w:val="24"/>
        </w:rPr>
        <w:t>HottCo</w:t>
      </w:r>
      <w:r w:rsidRPr="009B32C3">
        <w:rPr>
          <w:rFonts w:eastAsia="Times New Roman" w:cstheme="minorHAnsi"/>
          <w:color w:val="000D2D"/>
          <w:szCs w:val="24"/>
        </w:rPr>
        <w:t xml:space="preserve">’s Order Execution Policy. </w:t>
      </w:r>
    </w:p>
    <w:p w14:paraId="2EEC2D8D" w14:textId="77777777" w:rsidR="00C1179D" w:rsidRPr="009B32C3" w:rsidRDefault="00C1179D" w:rsidP="00C1179D">
      <w:pPr>
        <w:spacing w:after="0" w:line="240" w:lineRule="auto"/>
        <w:ind w:right="-193"/>
        <w:jc w:val="both"/>
        <w:rPr>
          <w:rFonts w:eastAsia="Times New Roman" w:cstheme="minorHAnsi"/>
          <w:color w:val="000D2D"/>
          <w:szCs w:val="24"/>
        </w:rPr>
      </w:pPr>
    </w:p>
    <w:p w14:paraId="359C5436" w14:textId="1036B386" w:rsidR="00C1179D" w:rsidRPr="009B32C3" w:rsidRDefault="00D75F53" w:rsidP="00C1179D">
      <w:pPr>
        <w:spacing w:after="0" w:line="240" w:lineRule="auto"/>
        <w:ind w:right="-193"/>
        <w:jc w:val="both"/>
        <w:rPr>
          <w:rFonts w:eastAsia="Times New Roman" w:cstheme="minorHAnsi"/>
          <w:color w:val="000D2D"/>
          <w:szCs w:val="24"/>
        </w:rPr>
      </w:pPr>
      <w:r>
        <w:rPr>
          <w:rFonts w:eastAsia="Times New Roman" w:cstheme="minorHAnsi"/>
          <w:color w:val="000D2D"/>
          <w:szCs w:val="24"/>
        </w:rPr>
        <w:t>HottCo</w:t>
      </w:r>
      <w:r w:rsidR="00C1179D" w:rsidRPr="009B32C3">
        <w:rPr>
          <w:rFonts w:eastAsia="Times New Roman" w:cstheme="minorHAnsi"/>
          <w:color w:val="000D2D"/>
          <w:szCs w:val="24"/>
        </w:rPr>
        <w:t xml:space="preserve"> is also able to confirm that it has not entered into specific arrangements with the clearing, settlement and/or custody providers </w:t>
      </w:r>
      <w:r w:rsidR="00BC71BF" w:rsidRPr="009B32C3">
        <w:rPr>
          <w:rFonts w:eastAsia="Times New Roman" w:cstheme="minorHAnsi"/>
          <w:color w:val="000D2D"/>
          <w:szCs w:val="24"/>
        </w:rPr>
        <w:t xml:space="preserve">and/or its brokers </w:t>
      </w:r>
      <w:r w:rsidR="00C1179D" w:rsidRPr="009B32C3">
        <w:rPr>
          <w:rFonts w:eastAsia="Times New Roman" w:cstheme="minorHAnsi"/>
          <w:color w:val="000D2D"/>
          <w:szCs w:val="24"/>
        </w:rPr>
        <w:t xml:space="preserve">regarding payments made or received, discounts, </w:t>
      </w:r>
      <w:proofErr w:type="gramStart"/>
      <w:r w:rsidR="00C1179D" w:rsidRPr="009B32C3">
        <w:rPr>
          <w:rFonts w:eastAsia="Times New Roman" w:cstheme="minorHAnsi"/>
          <w:color w:val="000D2D"/>
          <w:szCs w:val="24"/>
        </w:rPr>
        <w:t>rebates</w:t>
      </w:r>
      <w:proofErr w:type="gramEnd"/>
      <w:r w:rsidR="00C1179D" w:rsidRPr="009B32C3">
        <w:rPr>
          <w:rFonts w:eastAsia="Times New Roman" w:cstheme="minorHAnsi"/>
          <w:color w:val="000D2D"/>
          <w:szCs w:val="24"/>
        </w:rPr>
        <w:t xml:space="preserve"> or non-monetary benefits. Prior to the implementation of MiFID II, </w:t>
      </w:r>
      <w:r>
        <w:rPr>
          <w:rFonts w:eastAsia="Times New Roman" w:cstheme="minorHAnsi"/>
          <w:color w:val="000D2D"/>
          <w:szCs w:val="24"/>
        </w:rPr>
        <w:t>HottCo</w:t>
      </w:r>
      <w:r w:rsidR="00C1179D" w:rsidRPr="009B32C3">
        <w:rPr>
          <w:rFonts w:eastAsia="Times New Roman" w:cstheme="minorHAnsi"/>
          <w:color w:val="000D2D"/>
          <w:szCs w:val="24"/>
        </w:rPr>
        <w:t xml:space="preserve"> took the decision to pay for all research it receives from the clearing, settlement and/or custody providers</w:t>
      </w:r>
      <w:r w:rsidR="00BC71BF" w:rsidRPr="009B32C3">
        <w:rPr>
          <w:rFonts w:eastAsia="Times New Roman" w:cstheme="minorHAnsi"/>
          <w:color w:val="000D2D"/>
          <w:szCs w:val="24"/>
        </w:rPr>
        <w:t xml:space="preserve">, brokers </w:t>
      </w:r>
      <w:r w:rsidR="00C1179D" w:rsidRPr="009B32C3">
        <w:rPr>
          <w:rFonts w:eastAsia="Times New Roman" w:cstheme="minorHAnsi"/>
          <w:color w:val="000D2D"/>
          <w:szCs w:val="24"/>
        </w:rPr>
        <w:t xml:space="preserve">and </w:t>
      </w:r>
      <w:proofErr w:type="gramStart"/>
      <w:r w:rsidR="00C1179D" w:rsidRPr="009B32C3">
        <w:rPr>
          <w:rFonts w:eastAsia="Times New Roman" w:cstheme="minorHAnsi"/>
          <w:color w:val="000D2D"/>
          <w:szCs w:val="24"/>
        </w:rPr>
        <w:t>third party</w:t>
      </w:r>
      <w:proofErr w:type="gramEnd"/>
      <w:r w:rsidR="00C1179D" w:rsidRPr="009B32C3">
        <w:rPr>
          <w:rFonts w:eastAsia="Times New Roman" w:cstheme="minorHAnsi"/>
          <w:color w:val="000D2D"/>
          <w:szCs w:val="24"/>
        </w:rPr>
        <w:t xml:space="preserve"> research providers directly out of its own resources. </w:t>
      </w:r>
      <w:r>
        <w:rPr>
          <w:rFonts w:eastAsia="Times New Roman" w:cstheme="minorHAnsi"/>
          <w:color w:val="000D2D"/>
          <w:szCs w:val="24"/>
        </w:rPr>
        <w:t>HottCo</w:t>
      </w:r>
      <w:r w:rsidR="00C1179D" w:rsidRPr="009B32C3">
        <w:rPr>
          <w:rFonts w:eastAsia="Times New Roman" w:cstheme="minorHAnsi"/>
          <w:color w:val="000D2D"/>
          <w:szCs w:val="24"/>
        </w:rPr>
        <w:t xml:space="preserve"> has agreed common execution only commission rates with its brokers which are solely subject to variations by region and transaction type.</w:t>
      </w:r>
    </w:p>
    <w:p w14:paraId="49577B3A" w14:textId="77777777" w:rsidR="00BC1282" w:rsidRPr="009B32C3" w:rsidRDefault="00BC1282" w:rsidP="00C1179D">
      <w:pPr>
        <w:spacing w:after="0" w:line="240" w:lineRule="auto"/>
        <w:ind w:right="-193"/>
        <w:jc w:val="both"/>
        <w:rPr>
          <w:rFonts w:eastAsia="Times New Roman" w:cstheme="minorHAnsi"/>
          <w:color w:val="000D2D"/>
          <w:szCs w:val="24"/>
        </w:rPr>
      </w:pPr>
    </w:p>
    <w:p w14:paraId="2BD35C91" w14:textId="70D81F3C" w:rsidR="005623DD" w:rsidRPr="008A118F" w:rsidRDefault="008A118F" w:rsidP="008A118F">
      <w:pPr>
        <w:pStyle w:val="ListParagraph"/>
        <w:numPr>
          <w:ilvl w:val="1"/>
          <w:numId w:val="24"/>
        </w:numPr>
        <w:spacing w:after="0" w:line="240" w:lineRule="auto"/>
        <w:rPr>
          <w:b/>
          <w:color w:val="000D2D"/>
        </w:rPr>
      </w:pPr>
      <w:r>
        <w:rPr>
          <w:b/>
          <w:color w:val="000D2D"/>
        </w:rPr>
        <w:t>PRINCIPLES AND</w:t>
      </w:r>
      <w:r w:rsidR="005623DD" w:rsidRPr="008A118F">
        <w:rPr>
          <w:b/>
          <w:color w:val="000D2D"/>
        </w:rPr>
        <w:t xml:space="preserve"> RULES</w:t>
      </w:r>
    </w:p>
    <w:p w14:paraId="6692EE15" w14:textId="77777777" w:rsidR="00F95814" w:rsidRPr="009B32C3" w:rsidRDefault="00F95814" w:rsidP="00F95814">
      <w:pPr>
        <w:spacing w:after="200" w:line="276" w:lineRule="auto"/>
        <w:ind w:left="360"/>
        <w:contextualSpacing/>
        <w:rPr>
          <w:rFonts w:ascii="Calibri" w:eastAsia="Calibri" w:hAnsi="Calibri"/>
          <w:b/>
          <w:color w:val="000D2D"/>
          <w:sz w:val="16"/>
          <w:szCs w:val="16"/>
        </w:rPr>
      </w:pPr>
    </w:p>
    <w:tbl>
      <w:tblPr>
        <w:tblStyle w:val="TableGrid12"/>
        <w:tblW w:w="14029" w:type="dxa"/>
        <w:tblLook w:val="04A0" w:firstRow="1" w:lastRow="0" w:firstColumn="1" w:lastColumn="0" w:noHBand="0" w:noVBand="1"/>
      </w:tblPr>
      <w:tblGrid>
        <w:gridCol w:w="1905"/>
        <w:gridCol w:w="12124"/>
      </w:tblGrid>
      <w:tr w:rsidR="008D7590" w:rsidRPr="008D7590" w14:paraId="20EA4C4D" w14:textId="77777777" w:rsidTr="008A118F">
        <w:trPr>
          <w:trHeight w:hRule="exact" w:val="397"/>
        </w:trPr>
        <w:tc>
          <w:tcPr>
            <w:tcW w:w="1905" w:type="dxa"/>
            <w:shd w:val="clear" w:color="auto" w:fill="000D2D"/>
          </w:tcPr>
          <w:p w14:paraId="2DC47971" w14:textId="77777777" w:rsidR="00F95814" w:rsidRPr="008A118F" w:rsidRDefault="00F95814" w:rsidP="008A118F">
            <w:pPr>
              <w:spacing w:before="63"/>
              <w:ind w:left="103"/>
              <w:jc w:val="center"/>
              <w:rPr>
                <w:rFonts w:cstheme="minorHAnsi"/>
                <w:b/>
                <w:color w:val="ABA9AA"/>
              </w:rPr>
            </w:pPr>
            <w:r w:rsidRPr="008A118F">
              <w:rPr>
                <w:rFonts w:cstheme="minorHAnsi"/>
                <w:b/>
                <w:color w:val="ABA9AA"/>
              </w:rPr>
              <w:t>Principles/Rules</w:t>
            </w:r>
          </w:p>
        </w:tc>
        <w:tc>
          <w:tcPr>
            <w:tcW w:w="12124" w:type="dxa"/>
            <w:shd w:val="clear" w:color="auto" w:fill="000D2D"/>
          </w:tcPr>
          <w:p w14:paraId="6573A769" w14:textId="77777777" w:rsidR="00F95814" w:rsidRPr="008D7590" w:rsidRDefault="00F95814" w:rsidP="008A118F">
            <w:pPr>
              <w:spacing w:before="63"/>
              <w:ind w:left="103"/>
              <w:jc w:val="center"/>
              <w:rPr>
                <w:b/>
                <w:color w:val="ABA9AA"/>
              </w:rPr>
            </w:pPr>
            <w:r w:rsidRPr="008A118F">
              <w:rPr>
                <w:rFonts w:cstheme="minorHAnsi"/>
                <w:b/>
                <w:color w:val="ABA9AA"/>
              </w:rPr>
              <w:t>Requirements</w:t>
            </w:r>
          </w:p>
        </w:tc>
      </w:tr>
      <w:tr w:rsidR="009B32C3" w:rsidRPr="009B32C3" w14:paraId="4F3CAF24" w14:textId="77777777" w:rsidTr="00BC1282">
        <w:tc>
          <w:tcPr>
            <w:tcW w:w="1905" w:type="dxa"/>
          </w:tcPr>
          <w:p w14:paraId="577DE1B0" w14:textId="77777777" w:rsidR="00F95814" w:rsidRPr="009B32C3" w:rsidRDefault="00F95814" w:rsidP="00141C9B">
            <w:pPr>
              <w:spacing w:before="60" w:after="60" w:line="276" w:lineRule="auto"/>
              <w:rPr>
                <w:rFonts w:cs="Calibri"/>
                <w:color w:val="000D2D"/>
              </w:rPr>
            </w:pPr>
            <w:r w:rsidRPr="009B32C3">
              <w:rPr>
                <w:rFonts w:cs="Calibri"/>
                <w:color w:val="000D2D"/>
              </w:rPr>
              <w:t>Principle 2</w:t>
            </w:r>
          </w:p>
        </w:tc>
        <w:tc>
          <w:tcPr>
            <w:tcW w:w="12124" w:type="dxa"/>
          </w:tcPr>
          <w:p w14:paraId="1348143A" w14:textId="77777777" w:rsidR="00F95814" w:rsidRPr="009B32C3" w:rsidRDefault="00F95814" w:rsidP="00141C9B">
            <w:pPr>
              <w:spacing w:before="60" w:after="60" w:line="276" w:lineRule="auto"/>
              <w:rPr>
                <w:rFonts w:cs="Calibri"/>
                <w:color w:val="000D2D"/>
              </w:rPr>
            </w:pPr>
            <w:r w:rsidRPr="009B32C3">
              <w:rPr>
                <w:rFonts w:cs="Calibri"/>
                <w:color w:val="000D2D"/>
              </w:rPr>
              <w:t>A firm must conduct its business with due skill, care and diligence.</w:t>
            </w:r>
          </w:p>
        </w:tc>
      </w:tr>
      <w:tr w:rsidR="009B32C3" w:rsidRPr="009B32C3" w14:paraId="63A9782D" w14:textId="77777777" w:rsidTr="00BC1282">
        <w:tc>
          <w:tcPr>
            <w:tcW w:w="1905" w:type="dxa"/>
          </w:tcPr>
          <w:p w14:paraId="6617C926" w14:textId="77777777" w:rsidR="00F95814" w:rsidRPr="009B32C3" w:rsidRDefault="00F95814" w:rsidP="00141C9B">
            <w:pPr>
              <w:spacing w:before="60" w:after="60" w:line="276" w:lineRule="auto"/>
              <w:rPr>
                <w:rFonts w:cs="Calibri"/>
                <w:color w:val="000D2D"/>
              </w:rPr>
            </w:pPr>
            <w:r w:rsidRPr="009B32C3">
              <w:rPr>
                <w:rFonts w:cs="Calibri"/>
                <w:color w:val="000D2D"/>
              </w:rPr>
              <w:t>Principle 6</w:t>
            </w:r>
          </w:p>
        </w:tc>
        <w:tc>
          <w:tcPr>
            <w:tcW w:w="12124" w:type="dxa"/>
          </w:tcPr>
          <w:p w14:paraId="398CA52D" w14:textId="77777777" w:rsidR="00F95814" w:rsidRPr="009B32C3" w:rsidRDefault="00F95814" w:rsidP="00141C9B">
            <w:pPr>
              <w:spacing w:before="60" w:after="60" w:line="276" w:lineRule="auto"/>
              <w:rPr>
                <w:rFonts w:cs="Calibri"/>
                <w:color w:val="000D2D"/>
              </w:rPr>
            </w:pPr>
            <w:r w:rsidRPr="009B32C3">
              <w:rPr>
                <w:rFonts w:cs="Calibri"/>
                <w:color w:val="000D2D"/>
              </w:rPr>
              <w:t>A firm must pay due regard to the interests of its customers and treat them fairly.</w:t>
            </w:r>
          </w:p>
        </w:tc>
      </w:tr>
      <w:tr w:rsidR="009B32C3" w:rsidRPr="009B32C3" w14:paraId="218F4BA9" w14:textId="77777777" w:rsidTr="00BC1282">
        <w:tc>
          <w:tcPr>
            <w:tcW w:w="1905" w:type="dxa"/>
          </w:tcPr>
          <w:p w14:paraId="77744577" w14:textId="77777777" w:rsidR="00F95814" w:rsidRPr="009B32C3" w:rsidRDefault="00F95814" w:rsidP="00141C9B">
            <w:pPr>
              <w:spacing w:before="60" w:after="60" w:line="276" w:lineRule="auto"/>
              <w:rPr>
                <w:rFonts w:cs="Calibri"/>
                <w:color w:val="000D2D"/>
              </w:rPr>
            </w:pPr>
            <w:r w:rsidRPr="009B32C3">
              <w:rPr>
                <w:rFonts w:cs="Calibri"/>
                <w:color w:val="000D2D"/>
              </w:rPr>
              <w:t>Principle 9</w:t>
            </w:r>
          </w:p>
        </w:tc>
        <w:tc>
          <w:tcPr>
            <w:tcW w:w="12124" w:type="dxa"/>
          </w:tcPr>
          <w:p w14:paraId="4299CE62" w14:textId="77777777" w:rsidR="00F95814" w:rsidRPr="009B32C3" w:rsidRDefault="00F95814" w:rsidP="00141C9B">
            <w:pPr>
              <w:spacing w:before="60" w:after="60" w:line="276" w:lineRule="auto"/>
              <w:rPr>
                <w:rFonts w:cs="Calibri"/>
                <w:color w:val="000D2D"/>
              </w:rPr>
            </w:pPr>
            <w:r w:rsidRPr="009B32C3">
              <w:rPr>
                <w:rFonts w:cs="Calibri"/>
                <w:color w:val="000D2D"/>
              </w:rPr>
              <w:t>A firm must take reasonable care to ensure the suitability of its advice and discretionary decisions for any customer who is entitled to rely upon its judgment.</w:t>
            </w:r>
          </w:p>
        </w:tc>
      </w:tr>
      <w:tr w:rsidR="009B32C3" w:rsidRPr="009B32C3" w14:paraId="0FFAAB48" w14:textId="77777777" w:rsidTr="00BC1282">
        <w:tc>
          <w:tcPr>
            <w:tcW w:w="1905" w:type="dxa"/>
          </w:tcPr>
          <w:p w14:paraId="115665DE" w14:textId="77777777" w:rsidR="00F95814" w:rsidRPr="009B32C3" w:rsidRDefault="00F95814" w:rsidP="00F95814">
            <w:pPr>
              <w:spacing w:before="60" w:after="60"/>
              <w:rPr>
                <w:color w:val="000D2D"/>
              </w:rPr>
            </w:pPr>
            <w:r w:rsidRPr="009B32C3">
              <w:rPr>
                <w:color w:val="000D2D"/>
              </w:rPr>
              <w:t>SYSC 3</w:t>
            </w:r>
          </w:p>
        </w:tc>
        <w:tc>
          <w:tcPr>
            <w:tcW w:w="12124" w:type="dxa"/>
          </w:tcPr>
          <w:p w14:paraId="3A8EB676" w14:textId="77777777" w:rsidR="00F95814" w:rsidRPr="009B32C3" w:rsidRDefault="00F95814" w:rsidP="00F95814">
            <w:pPr>
              <w:spacing w:before="60"/>
              <w:rPr>
                <w:color w:val="000D2D"/>
              </w:rPr>
            </w:pPr>
            <w:r w:rsidRPr="009B32C3">
              <w:rPr>
                <w:rFonts w:cstheme="minorHAnsi"/>
                <w:color w:val="000D2D"/>
              </w:rPr>
              <w:t>Systems and Controls</w:t>
            </w:r>
          </w:p>
        </w:tc>
      </w:tr>
      <w:tr w:rsidR="009B32C3" w:rsidRPr="009B32C3" w14:paraId="24AE0182" w14:textId="77777777" w:rsidTr="00BC1282">
        <w:tc>
          <w:tcPr>
            <w:tcW w:w="1905" w:type="dxa"/>
          </w:tcPr>
          <w:p w14:paraId="1E89978A" w14:textId="77777777" w:rsidR="00F95814" w:rsidRPr="009B32C3" w:rsidRDefault="00F95814" w:rsidP="00F95814">
            <w:pPr>
              <w:spacing w:before="60" w:after="60" w:line="276" w:lineRule="auto"/>
              <w:rPr>
                <w:rFonts w:cs="Calibri"/>
                <w:color w:val="000D2D"/>
              </w:rPr>
            </w:pPr>
            <w:r w:rsidRPr="009B32C3">
              <w:rPr>
                <w:rFonts w:cs="Calibri"/>
                <w:color w:val="000D2D"/>
              </w:rPr>
              <w:t>SYSC 4</w:t>
            </w:r>
          </w:p>
        </w:tc>
        <w:tc>
          <w:tcPr>
            <w:tcW w:w="12124" w:type="dxa"/>
          </w:tcPr>
          <w:p w14:paraId="1F874D52" w14:textId="77777777" w:rsidR="00F95814" w:rsidRPr="009B32C3" w:rsidRDefault="00F95814" w:rsidP="00F95814">
            <w:pPr>
              <w:spacing w:before="60" w:after="60" w:line="276" w:lineRule="auto"/>
              <w:rPr>
                <w:rFonts w:cs="Calibri"/>
                <w:color w:val="000D2D"/>
              </w:rPr>
            </w:pPr>
            <w:r w:rsidRPr="009B32C3">
              <w:rPr>
                <w:rFonts w:cs="Calibri"/>
                <w:color w:val="000D2D"/>
              </w:rPr>
              <w:t>General organisational requirements</w:t>
            </w:r>
          </w:p>
        </w:tc>
      </w:tr>
      <w:tr w:rsidR="009B32C3" w:rsidRPr="009B32C3" w14:paraId="0EBB2959" w14:textId="77777777" w:rsidTr="00BC1282">
        <w:tc>
          <w:tcPr>
            <w:tcW w:w="1905" w:type="dxa"/>
          </w:tcPr>
          <w:p w14:paraId="427C8CFA" w14:textId="77777777" w:rsidR="00F95814" w:rsidRPr="009B32C3" w:rsidRDefault="00F95814" w:rsidP="00F95814">
            <w:pPr>
              <w:spacing w:before="60" w:after="60" w:line="276" w:lineRule="auto"/>
              <w:rPr>
                <w:rFonts w:cs="Calibri"/>
                <w:color w:val="000D2D"/>
              </w:rPr>
            </w:pPr>
            <w:r w:rsidRPr="009B32C3">
              <w:rPr>
                <w:rFonts w:cs="Calibri"/>
                <w:color w:val="000D2D"/>
              </w:rPr>
              <w:t>COBS 2</w:t>
            </w:r>
          </w:p>
        </w:tc>
        <w:tc>
          <w:tcPr>
            <w:tcW w:w="12124" w:type="dxa"/>
          </w:tcPr>
          <w:p w14:paraId="3F3927DD" w14:textId="77777777" w:rsidR="00F95814" w:rsidRPr="009B32C3" w:rsidRDefault="00F95814" w:rsidP="00F95814">
            <w:pPr>
              <w:spacing w:before="60" w:after="60" w:line="276" w:lineRule="auto"/>
              <w:rPr>
                <w:rFonts w:cs="Calibri"/>
                <w:color w:val="000D2D"/>
              </w:rPr>
            </w:pPr>
            <w:r w:rsidRPr="009B32C3">
              <w:rPr>
                <w:rFonts w:cs="Calibri"/>
                <w:color w:val="000D2D"/>
              </w:rPr>
              <w:t>Conduct of business obligations</w:t>
            </w:r>
          </w:p>
        </w:tc>
      </w:tr>
      <w:tr w:rsidR="009B32C3" w:rsidRPr="009B32C3" w14:paraId="674EAADD" w14:textId="77777777" w:rsidTr="00BC1282">
        <w:tc>
          <w:tcPr>
            <w:tcW w:w="1905" w:type="dxa"/>
          </w:tcPr>
          <w:p w14:paraId="3D2DE990" w14:textId="77777777" w:rsidR="00F95814" w:rsidRPr="009B32C3" w:rsidRDefault="00F95814" w:rsidP="00F95814">
            <w:pPr>
              <w:spacing w:before="60" w:after="60" w:line="276" w:lineRule="auto"/>
              <w:rPr>
                <w:rFonts w:cs="Calibri"/>
                <w:color w:val="000D2D"/>
              </w:rPr>
            </w:pPr>
            <w:r w:rsidRPr="009B32C3">
              <w:rPr>
                <w:rFonts w:cs="Calibri"/>
                <w:color w:val="000D2D"/>
              </w:rPr>
              <w:t>COBS 11.2A.2R</w:t>
            </w:r>
          </w:p>
        </w:tc>
        <w:tc>
          <w:tcPr>
            <w:tcW w:w="12124" w:type="dxa"/>
          </w:tcPr>
          <w:p w14:paraId="256615ED" w14:textId="77777777" w:rsidR="00F95814" w:rsidRPr="009B32C3" w:rsidRDefault="00F95814" w:rsidP="00F95814">
            <w:pPr>
              <w:spacing w:before="60" w:after="60" w:line="276" w:lineRule="auto"/>
              <w:rPr>
                <w:rFonts w:cs="Calibri"/>
                <w:color w:val="000D2D"/>
              </w:rPr>
            </w:pPr>
            <w:r w:rsidRPr="009B32C3">
              <w:rPr>
                <w:rFonts w:cs="Calibri"/>
                <w:color w:val="000D2D"/>
              </w:rPr>
              <w:t xml:space="preserve">Obligation to execute orders on terms most favourable to the client - </w:t>
            </w:r>
          </w:p>
          <w:p w14:paraId="5863EC0E" w14:textId="77777777" w:rsidR="00F95814" w:rsidRPr="009B32C3" w:rsidRDefault="00F95814" w:rsidP="00F95814">
            <w:pPr>
              <w:spacing w:before="60" w:after="60" w:line="276" w:lineRule="auto"/>
              <w:rPr>
                <w:rFonts w:cs="Calibri"/>
                <w:color w:val="000D2D"/>
              </w:rPr>
            </w:pPr>
            <w:r w:rsidRPr="009B32C3">
              <w:rPr>
                <w:rFonts w:cs="Calibri"/>
                <w:color w:val="000D2D"/>
              </w:rPr>
              <w:t>(1) A firm must take all sufficient steps to obtain, when executing orders, the best possible results for its clients taking into account the execution factors.</w:t>
            </w:r>
          </w:p>
          <w:p w14:paraId="0C63AF74" w14:textId="77777777" w:rsidR="00F95814" w:rsidRPr="009B32C3" w:rsidRDefault="00F95814" w:rsidP="00F95814">
            <w:pPr>
              <w:spacing w:before="60" w:after="60" w:line="276" w:lineRule="auto"/>
              <w:rPr>
                <w:rFonts w:cs="Calibri"/>
                <w:color w:val="000D2D"/>
              </w:rPr>
            </w:pPr>
            <w:r w:rsidRPr="009B32C3">
              <w:rPr>
                <w:rFonts w:cs="Calibri"/>
                <w:color w:val="000D2D"/>
              </w:rPr>
              <w:t>(2) The execution factors to be taken into account are price, costs, speed, likelihood of execution and settlement, size, nature or any other consideration relevant to the execution of an order.</w:t>
            </w:r>
          </w:p>
        </w:tc>
      </w:tr>
    </w:tbl>
    <w:p w14:paraId="7A61EE78" w14:textId="5803EF63" w:rsidR="00BC1282" w:rsidRPr="009B32C3" w:rsidRDefault="00BC1282">
      <w:pPr>
        <w:rPr>
          <w:color w:val="000D2D"/>
        </w:rPr>
      </w:pPr>
    </w:p>
    <w:tbl>
      <w:tblPr>
        <w:tblStyle w:val="TableGrid12"/>
        <w:tblW w:w="14029" w:type="dxa"/>
        <w:tblLook w:val="04A0" w:firstRow="1" w:lastRow="0" w:firstColumn="1" w:lastColumn="0" w:noHBand="0" w:noVBand="1"/>
      </w:tblPr>
      <w:tblGrid>
        <w:gridCol w:w="1905"/>
        <w:gridCol w:w="12124"/>
      </w:tblGrid>
      <w:tr w:rsidR="008D7590" w:rsidRPr="008D7590" w14:paraId="609BED98" w14:textId="77777777" w:rsidTr="00425631">
        <w:trPr>
          <w:trHeight w:hRule="exact" w:val="397"/>
        </w:trPr>
        <w:tc>
          <w:tcPr>
            <w:tcW w:w="1905" w:type="dxa"/>
            <w:shd w:val="clear" w:color="auto" w:fill="000D2D"/>
          </w:tcPr>
          <w:p w14:paraId="1A066450" w14:textId="77777777" w:rsidR="00BC1282" w:rsidRPr="00425631" w:rsidRDefault="00BC1282" w:rsidP="00425631">
            <w:pPr>
              <w:spacing w:before="63"/>
              <w:ind w:left="103"/>
              <w:jc w:val="center"/>
              <w:rPr>
                <w:rFonts w:cstheme="minorHAnsi"/>
                <w:b/>
                <w:color w:val="ABA9AA"/>
              </w:rPr>
            </w:pPr>
            <w:r w:rsidRPr="00425631">
              <w:rPr>
                <w:rFonts w:cstheme="minorHAnsi"/>
                <w:b/>
                <w:color w:val="ABA9AA"/>
              </w:rPr>
              <w:lastRenderedPageBreak/>
              <w:t>Principles/Rules</w:t>
            </w:r>
          </w:p>
        </w:tc>
        <w:tc>
          <w:tcPr>
            <w:tcW w:w="12124" w:type="dxa"/>
            <w:shd w:val="clear" w:color="auto" w:fill="000D2D"/>
          </w:tcPr>
          <w:p w14:paraId="02430824" w14:textId="77777777" w:rsidR="00BC1282" w:rsidRPr="00425631" w:rsidRDefault="00BC1282" w:rsidP="00425631">
            <w:pPr>
              <w:spacing w:before="63"/>
              <w:ind w:left="103"/>
              <w:jc w:val="center"/>
              <w:rPr>
                <w:rFonts w:cstheme="minorHAnsi"/>
                <w:b/>
                <w:color w:val="ABA9AA"/>
              </w:rPr>
            </w:pPr>
            <w:r w:rsidRPr="00425631">
              <w:rPr>
                <w:rFonts w:cstheme="minorHAnsi"/>
                <w:b/>
                <w:color w:val="ABA9AA"/>
              </w:rPr>
              <w:t>Requirements</w:t>
            </w:r>
          </w:p>
        </w:tc>
      </w:tr>
      <w:tr w:rsidR="00FD024E" w:rsidRPr="009B32C3" w14:paraId="2EE8DFA6" w14:textId="77777777" w:rsidTr="00174735">
        <w:tc>
          <w:tcPr>
            <w:tcW w:w="1905" w:type="dxa"/>
            <w:tcBorders>
              <w:bottom w:val="single" w:sz="4" w:space="0" w:color="000000" w:themeColor="text1"/>
            </w:tcBorders>
          </w:tcPr>
          <w:p w14:paraId="4BE1C13A" w14:textId="77777777" w:rsidR="00FD024E" w:rsidRPr="009B32C3" w:rsidRDefault="00FD024E" w:rsidP="00174735">
            <w:pPr>
              <w:spacing w:before="60" w:after="60" w:line="276" w:lineRule="auto"/>
              <w:rPr>
                <w:rFonts w:cs="Calibri"/>
                <w:color w:val="000D2D"/>
              </w:rPr>
            </w:pPr>
            <w:r w:rsidRPr="009B32C3">
              <w:rPr>
                <w:rFonts w:cs="Calibri"/>
                <w:color w:val="000D2D"/>
              </w:rPr>
              <w:t xml:space="preserve">COBS 11.2A.32R </w:t>
            </w:r>
          </w:p>
        </w:tc>
        <w:tc>
          <w:tcPr>
            <w:tcW w:w="12124" w:type="dxa"/>
            <w:tcBorders>
              <w:bottom w:val="single" w:sz="4" w:space="0" w:color="000000" w:themeColor="text1"/>
            </w:tcBorders>
          </w:tcPr>
          <w:p w14:paraId="2EBEAEE1" w14:textId="77777777" w:rsidR="00FD024E" w:rsidRPr="009B32C3" w:rsidRDefault="00FD024E" w:rsidP="00174735">
            <w:pPr>
              <w:spacing w:before="60" w:after="60" w:line="276" w:lineRule="auto"/>
              <w:rPr>
                <w:rFonts w:cs="Calibri"/>
                <w:color w:val="000D2D"/>
              </w:rPr>
            </w:pPr>
            <w:r w:rsidRPr="009B32C3">
              <w:rPr>
                <w:rFonts w:cs="Calibri"/>
                <w:color w:val="000D2D"/>
              </w:rPr>
              <w:t>(1) A firm must be able to demonstrate to its clients, at their request, that it has executed their orders in accordance with its execution policy.</w:t>
            </w:r>
          </w:p>
          <w:p w14:paraId="6447BB4A" w14:textId="77777777" w:rsidR="00FD024E" w:rsidRPr="009B32C3" w:rsidRDefault="00FD024E" w:rsidP="00174735">
            <w:pPr>
              <w:spacing w:before="60" w:after="60" w:line="276" w:lineRule="auto"/>
              <w:rPr>
                <w:rFonts w:cs="Calibri"/>
                <w:color w:val="000D2D"/>
              </w:rPr>
            </w:pPr>
            <w:r w:rsidRPr="009B32C3">
              <w:rPr>
                <w:rFonts w:cs="Calibri"/>
                <w:color w:val="000D2D"/>
              </w:rPr>
              <w:t>(2) A firm must be able to demonstrate to the FCA, at the request of that authority, its compliance with COBS 11.2A.2R and with the related provisions in this chapter which require firms to execute orders on terms most favourable to the client.</w:t>
            </w:r>
          </w:p>
        </w:tc>
      </w:tr>
    </w:tbl>
    <w:tbl>
      <w:tblPr>
        <w:tblStyle w:val="TableGrid11"/>
        <w:tblW w:w="14029" w:type="dxa"/>
        <w:tblLook w:val="04A0" w:firstRow="1" w:lastRow="0" w:firstColumn="1" w:lastColumn="0" w:noHBand="0" w:noVBand="1"/>
      </w:tblPr>
      <w:tblGrid>
        <w:gridCol w:w="1913"/>
        <w:gridCol w:w="12116"/>
      </w:tblGrid>
      <w:tr w:rsidR="009B32C3" w:rsidRPr="009B32C3" w14:paraId="1CABB531" w14:textId="77777777" w:rsidTr="00BC1282">
        <w:tc>
          <w:tcPr>
            <w:tcW w:w="1913" w:type="dxa"/>
            <w:tcBorders>
              <w:top w:val="single" w:sz="4" w:space="0" w:color="000000" w:themeColor="text1"/>
            </w:tcBorders>
          </w:tcPr>
          <w:p w14:paraId="58F6D9FA" w14:textId="77777777" w:rsidR="005623DD" w:rsidRPr="009B32C3" w:rsidRDefault="00BC1282" w:rsidP="00216D37">
            <w:pPr>
              <w:spacing w:before="60" w:after="60"/>
              <w:rPr>
                <w:color w:val="000D2D"/>
              </w:rPr>
            </w:pPr>
            <w:r w:rsidRPr="009B32C3">
              <w:rPr>
                <w:color w:val="000D2D"/>
                <w:lang w:val="en-GB"/>
              </w:rPr>
              <w:br w:type="page"/>
            </w:r>
            <w:r w:rsidR="00216D37" w:rsidRPr="009B32C3">
              <w:rPr>
                <w:color w:val="000D2D"/>
              </w:rPr>
              <w:t>Article 27 of MiFID II</w:t>
            </w:r>
          </w:p>
          <w:p w14:paraId="11154309" w14:textId="77777777" w:rsidR="00D53098" w:rsidRPr="009B32C3" w:rsidRDefault="00D53098" w:rsidP="00D53098">
            <w:pPr>
              <w:pStyle w:val="ListParagraph"/>
              <w:numPr>
                <w:ilvl w:val="0"/>
                <w:numId w:val="9"/>
              </w:numPr>
              <w:spacing w:before="60" w:after="60"/>
              <w:ind w:left="171" w:hanging="142"/>
              <w:rPr>
                <w:color w:val="000D2D"/>
              </w:rPr>
            </w:pPr>
            <w:r w:rsidRPr="009B32C3">
              <w:rPr>
                <w:color w:val="000D2D"/>
              </w:rPr>
              <w:t>Article 27(1)</w:t>
            </w:r>
          </w:p>
          <w:p w14:paraId="77B9635E" w14:textId="77777777" w:rsidR="00D53098" w:rsidRPr="009B32C3" w:rsidRDefault="00D53098" w:rsidP="00D53098">
            <w:pPr>
              <w:pStyle w:val="ListParagraph"/>
              <w:numPr>
                <w:ilvl w:val="0"/>
                <w:numId w:val="9"/>
              </w:numPr>
              <w:spacing w:before="60" w:after="60"/>
              <w:ind w:left="171" w:hanging="142"/>
              <w:rPr>
                <w:color w:val="000D2D"/>
              </w:rPr>
            </w:pPr>
            <w:r w:rsidRPr="009B32C3">
              <w:rPr>
                <w:color w:val="000D2D"/>
              </w:rPr>
              <w:t>Article 27(6)</w:t>
            </w:r>
          </w:p>
          <w:p w14:paraId="1E2608B5" w14:textId="77777777" w:rsidR="00D53098" w:rsidRPr="009B32C3" w:rsidRDefault="00D53098" w:rsidP="00D53098">
            <w:pPr>
              <w:pStyle w:val="ListParagraph"/>
              <w:numPr>
                <w:ilvl w:val="0"/>
                <w:numId w:val="9"/>
              </w:numPr>
              <w:spacing w:before="60" w:after="60"/>
              <w:ind w:left="171" w:hanging="142"/>
              <w:rPr>
                <w:color w:val="000D2D"/>
              </w:rPr>
            </w:pPr>
            <w:r w:rsidRPr="009B32C3">
              <w:rPr>
                <w:color w:val="000D2D"/>
              </w:rPr>
              <w:t>Article 27(8)</w:t>
            </w:r>
          </w:p>
        </w:tc>
        <w:tc>
          <w:tcPr>
            <w:tcW w:w="12116" w:type="dxa"/>
            <w:tcBorders>
              <w:top w:val="single" w:sz="2" w:space="0" w:color="000000" w:themeColor="text1"/>
            </w:tcBorders>
          </w:tcPr>
          <w:p w14:paraId="3428CF76" w14:textId="77777777" w:rsidR="005623DD" w:rsidRPr="009B32C3" w:rsidRDefault="00216D37" w:rsidP="00141C9B">
            <w:pPr>
              <w:spacing w:before="60" w:after="60"/>
              <w:rPr>
                <w:color w:val="000D2D"/>
              </w:rPr>
            </w:pPr>
            <w:r w:rsidRPr="009B32C3">
              <w:rPr>
                <w:color w:val="000D2D"/>
              </w:rPr>
              <w:t>Obligation to execute orders on terms most favourable to the client</w:t>
            </w:r>
          </w:p>
        </w:tc>
      </w:tr>
      <w:tr w:rsidR="009B32C3" w:rsidRPr="009B32C3" w14:paraId="236D0C80" w14:textId="77777777" w:rsidTr="00BC1282">
        <w:tc>
          <w:tcPr>
            <w:tcW w:w="1913" w:type="dxa"/>
          </w:tcPr>
          <w:p w14:paraId="0252CBAE" w14:textId="77777777" w:rsidR="00D53098" w:rsidRPr="009B32C3" w:rsidRDefault="00D53098" w:rsidP="00D53098">
            <w:pPr>
              <w:spacing w:before="60" w:after="60"/>
              <w:rPr>
                <w:color w:val="000D2D"/>
              </w:rPr>
            </w:pPr>
            <w:r w:rsidRPr="009B32C3">
              <w:rPr>
                <w:color w:val="000D2D"/>
              </w:rPr>
              <w:t>MiFID RTS 28</w:t>
            </w:r>
          </w:p>
        </w:tc>
        <w:tc>
          <w:tcPr>
            <w:tcW w:w="12116" w:type="dxa"/>
          </w:tcPr>
          <w:p w14:paraId="3D5C9280" w14:textId="77777777" w:rsidR="00D53098" w:rsidRPr="009B32C3" w:rsidRDefault="00D53098" w:rsidP="00141C9B">
            <w:pPr>
              <w:spacing w:before="60" w:after="60"/>
              <w:rPr>
                <w:color w:val="000D2D"/>
              </w:rPr>
            </w:pPr>
            <w:r w:rsidRPr="009B32C3">
              <w:rPr>
                <w:color w:val="000D2D"/>
              </w:rPr>
              <w:t>Commission Delegated Regulation (EU) 2017/576 of 8 July 2016 supplementing MiFID with regard to regulatory technical standards for the annual publication by investment firms of information on the identity of execution venues and on the quality of execution.</w:t>
            </w:r>
          </w:p>
        </w:tc>
      </w:tr>
    </w:tbl>
    <w:p w14:paraId="2985465F" w14:textId="77777777" w:rsidR="005623DD" w:rsidRPr="009B32C3" w:rsidRDefault="005623DD" w:rsidP="005623DD">
      <w:pPr>
        <w:spacing w:after="0"/>
        <w:rPr>
          <w:rFonts w:cstheme="minorHAnsi"/>
          <w:color w:val="000D2D"/>
        </w:rPr>
      </w:pPr>
    </w:p>
    <w:p w14:paraId="2C881BEB" w14:textId="2BDFF5C3" w:rsidR="005623DD" w:rsidRPr="00425631" w:rsidRDefault="00425631" w:rsidP="005623DD">
      <w:pPr>
        <w:pStyle w:val="ListParagraph"/>
        <w:numPr>
          <w:ilvl w:val="1"/>
          <w:numId w:val="24"/>
        </w:numPr>
        <w:spacing w:after="0" w:line="240" w:lineRule="auto"/>
        <w:rPr>
          <w:b/>
          <w:color w:val="000D2D"/>
        </w:rPr>
      </w:pPr>
      <w:r w:rsidRPr="00425631">
        <w:rPr>
          <w:b/>
          <w:color w:val="000D2D"/>
        </w:rPr>
        <w:t xml:space="preserve">RELATED DOCUMENTS AND </w:t>
      </w:r>
      <w:r w:rsidR="005623DD" w:rsidRPr="00425631">
        <w:rPr>
          <w:b/>
          <w:color w:val="000D2D"/>
        </w:rPr>
        <w:t>POLICIES</w:t>
      </w:r>
    </w:p>
    <w:p w14:paraId="7CA3D844" w14:textId="77777777" w:rsidR="005623DD" w:rsidRPr="009B32C3" w:rsidRDefault="005623DD" w:rsidP="005623DD">
      <w:pPr>
        <w:numPr>
          <w:ilvl w:val="0"/>
          <w:numId w:val="5"/>
        </w:numPr>
        <w:spacing w:after="0" w:line="240" w:lineRule="auto"/>
        <w:ind w:left="567" w:hanging="567"/>
        <w:contextualSpacing/>
        <w:rPr>
          <w:color w:val="000D2D"/>
        </w:rPr>
      </w:pPr>
      <w:r w:rsidRPr="009B32C3">
        <w:rPr>
          <w:color w:val="000D2D"/>
        </w:rPr>
        <w:t>Compliance Manual;</w:t>
      </w:r>
      <w:r w:rsidR="00D53098" w:rsidRPr="009B32C3">
        <w:rPr>
          <w:color w:val="000D2D"/>
        </w:rPr>
        <w:t xml:space="preserve"> and</w:t>
      </w:r>
    </w:p>
    <w:p w14:paraId="34AC9700" w14:textId="157E1A34" w:rsidR="00D53098" w:rsidRPr="009B32C3" w:rsidRDefault="00425631" w:rsidP="00D53098">
      <w:pPr>
        <w:numPr>
          <w:ilvl w:val="0"/>
          <w:numId w:val="5"/>
        </w:numPr>
        <w:spacing w:after="0" w:line="240" w:lineRule="auto"/>
        <w:ind w:left="567" w:hanging="567"/>
        <w:contextualSpacing/>
        <w:rPr>
          <w:color w:val="000D2D"/>
        </w:rPr>
      </w:pPr>
      <w:r>
        <w:rPr>
          <w:color w:val="000D2D"/>
        </w:rPr>
        <w:t>Order and Best Execution Policy</w:t>
      </w:r>
    </w:p>
    <w:p w14:paraId="5C299CDC" w14:textId="77777777" w:rsidR="005623DD" w:rsidRPr="009B32C3" w:rsidRDefault="005623DD" w:rsidP="00D53098">
      <w:pPr>
        <w:spacing w:after="0" w:line="240" w:lineRule="auto"/>
        <w:ind w:left="567"/>
        <w:contextualSpacing/>
        <w:rPr>
          <w:color w:val="000D2D"/>
        </w:rPr>
      </w:pPr>
    </w:p>
    <w:p w14:paraId="43739729" w14:textId="0D70D813" w:rsidR="005623DD" w:rsidRDefault="00A4337C" w:rsidP="005623DD">
      <w:pPr>
        <w:pStyle w:val="ListParagraph"/>
        <w:numPr>
          <w:ilvl w:val="0"/>
          <w:numId w:val="2"/>
        </w:numPr>
        <w:spacing w:after="0" w:line="240" w:lineRule="auto"/>
        <w:ind w:left="567" w:hanging="567"/>
        <w:jc w:val="both"/>
        <w:rPr>
          <w:rFonts w:cstheme="minorHAnsi"/>
          <w:b/>
          <w:color w:val="000D2D"/>
          <w:sz w:val="24"/>
          <w:szCs w:val="24"/>
        </w:rPr>
      </w:pPr>
      <w:r w:rsidRPr="009B32C3">
        <w:rPr>
          <w:rFonts w:cstheme="minorHAnsi"/>
          <w:b/>
          <w:color w:val="000D2D"/>
          <w:sz w:val="24"/>
          <w:szCs w:val="24"/>
        </w:rPr>
        <w:t>ORDER EXECUTION POLICY</w:t>
      </w:r>
    </w:p>
    <w:p w14:paraId="3D1E11DE" w14:textId="77777777" w:rsidR="00425631" w:rsidRPr="00425631" w:rsidRDefault="00425631" w:rsidP="00425631">
      <w:pPr>
        <w:spacing w:after="0" w:line="240" w:lineRule="auto"/>
        <w:jc w:val="both"/>
        <w:rPr>
          <w:rFonts w:cstheme="minorHAnsi"/>
          <w:b/>
          <w:color w:val="000D2D"/>
          <w:sz w:val="24"/>
          <w:szCs w:val="24"/>
        </w:rPr>
      </w:pPr>
    </w:p>
    <w:p w14:paraId="447AE7AC" w14:textId="6B388810" w:rsidR="00A4337C" w:rsidRPr="009B32C3" w:rsidRDefault="00A4337C" w:rsidP="00A4337C">
      <w:pPr>
        <w:rPr>
          <w:color w:val="000D2D"/>
        </w:rPr>
      </w:pPr>
      <w:r w:rsidRPr="009B32C3">
        <w:rPr>
          <w:color w:val="000D2D"/>
        </w:rPr>
        <w:t xml:space="preserve">Prior to the provision of its portfolio management services, </w:t>
      </w:r>
      <w:r w:rsidR="00D75F53">
        <w:rPr>
          <w:color w:val="000D2D"/>
        </w:rPr>
        <w:t>H</w:t>
      </w:r>
      <w:r w:rsidR="007C1B83">
        <w:rPr>
          <w:color w:val="000D2D"/>
        </w:rPr>
        <w:t>ott</w:t>
      </w:r>
      <w:r w:rsidR="00D75F53">
        <w:rPr>
          <w:color w:val="000D2D"/>
        </w:rPr>
        <w:t>C</w:t>
      </w:r>
      <w:r w:rsidR="007C1B83">
        <w:rPr>
          <w:color w:val="000D2D"/>
        </w:rPr>
        <w:t>o</w:t>
      </w:r>
      <w:r w:rsidRPr="009B32C3">
        <w:rPr>
          <w:color w:val="000D2D"/>
        </w:rPr>
        <w:t xml:space="preserve"> provides its retail and professional clients with its Order Execution Policy, which is included as a Schedule to its Investment Management Agreement (</w:t>
      </w:r>
      <w:r w:rsidRPr="009B32C3">
        <w:rPr>
          <w:b/>
          <w:color w:val="000D2D"/>
        </w:rPr>
        <w:t>IMA</w:t>
      </w:r>
      <w:r w:rsidRPr="009B32C3">
        <w:rPr>
          <w:color w:val="000D2D"/>
        </w:rPr>
        <w:t xml:space="preserve">). </w:t>
      </w:r>
    </w:p>
    <w:p w14:paraId="3A167AEA" w14:textId="14D0ADE8" w:rsidR="00A4337C" w:rsidRDefault="00D75F53" w:rsidP="00A4337C">
      <w:pPr>
        <w:rPr>
          <w:color w:val="000D2D"/>
        </w:rPr>
      </w:pPr>
      <w:r>
        <w:rPr>
          <w:color w:val="000D2D"/>
        </w:rPr>
        <w:t>H</w:t>
      </w:r>
      <w:r w:rsidR="007C1B83">
        <w:rPr>
          <w:color w:val="000D2D"/>
        </w:rPr>
        <w:t>ott</w:t>
      </w:r>
      <w:r>
        <w:rPr>
          <w:color w:val="000D2D"/>
        </w:rPr>
        <w:t>C</w:t>
      </w:r>
      <w:r w:rsidR="007C1B83">
        <w:rPr>
          <w:color w:val="000D2D"/>
        </w:rPr>
        <w:t>o</w:t>
      </w:r>
      <w:r w:rsidR="00A4337C" w:rsidRPr="009B32C3">
        <w:rPr>
          <w:color w:val="000D2D"/>
        </w:rPr>
        <w:t xml:space="preserve">’s Order Execution Policy includes, inter alia, in respect of each class of financial instruments, information on the different execution venues where </w:t>
      </w:r>
      <w:r>
        <w:rPr>
          <w:color w:val="000D2D"/>
        </w:rPr>
        <w:t>H</w:t>
      </w:r>
      <w:r w:rsidR="007C1B83">
        <w:rPr>
          <w:color w:val="000D2D"/>
        </w:rPr>
        <w:t>ott</w:t>
      </w:r>
      <w:r>
        <w:rPr>
          <w:color w:val="000D2D"/>
        </w:rPr>
        <w:t>C</w:t>
      </w:r>
      <w:r w:rsidR="007C1B83">
        <w:rPr>
          <w:color w:val="000D2D"/>
        </w:rPr>
        <w:t>o</w:t>
      </w:r>
      <w:r w:rsidR="00A4337C" w:rsidRPr="009B32C3">
        <w:rPr>
          <w:color w:val="000D2D"/>
        </w:rPr>
        <w:t xml:space="preserve"> executes its client orders and the factors affecting the choice of execution venue</w:t>
      </w:r>
      <w:r w:rsidR="005834A8" w:rsidRPr="009B32C3">
        <w:rPr>
          <w:color w:val="000D2D"/>
        </w:rPr>
        <w:t xml:space="preserve">; and information on the different approved counterparties where </w:t>
      </w:r>
      <w:r>
        <w:rPr>
          <w:color w:val="000D2D"/>
        </w:rPr>
        <w:t>H</w:t>
      </w:r>
      <w:r w:rsidR="007C1B83">
        <w:rPr>
          <w:color w:val="000D2D"/>
        </w:rPr>
        <w:t>ott</w:t>
      </w:r>
      <w:r>
        <w:rPr>
          <w:color w:val="000D2D"/>
        </w:rPr>
        <w:t>C</w:t>
      </w:r>
      <w:r w:rsidR="007C1B83">
        <w:rPr>
          <w:color w:val="000D2D"/>
        </w:rPr>
        <w:t>o</w:t>
      </w:r>
      <w:r w:rsidR="005834A8" w:rsidRPr="009B32C3">
        <w:rPr>
          <w:color w:val="000D2D"/>
        </w:rPr>
        <w:t xml:space="preserve"> place orders (i.e. receives and transmit orders) on behalf of its clients. </w:t>
      </w:r>
      <w:r>
        <w:rPr>
          <w:color w:val="000D2D"/>
        </w:rPr>
        <w:t>H</w:t>
      </w:r>
      <w:r w:rsidR="007C1B83">
        <w:rPr>
          <w:color w:val="000D2D"/>
        </w:rPr>
        <w:t>ott</w:t>
      </w:r>
      <w:r>
        <w:rPr>
          <w:color w:val="000D2D"/>
        </w:rPr>
        <w:t>C</w:t>
      </w:r>
      <w:r w:rsidR="007C1B83">
        <w:rPr>
          <w:color w:val="000D2D"/>
        </w:rPr>
        <w:t>o</w:t>
      </w:r>
      <w:r w:rsidR="005834A8" w:rsidRPr="009B32C3">
        <w:rPr>
          <w:color w:val="000D2D"/>
        </w:rPr>
        <w:t xml:space="preserve">’s Order Execution Policy also </w:t>
      </w:r>
      <w:r w:rsidR="00A4337C" w:rsidRPr="009B32C3">
        <w:rPr>
          <w:color w:val="000D2D"/>
        </w:rPr>
        <w:t>include</w:t>
      </w:r>
      <w:r w:rsidR="005834A8" w:rsidRPr="009B32C3">
        <w:rPr>
          <w:color w:val="000D2D"/>
        </w:rPr>
        <w:t>s</w:t>
      </w:r>
      <w:r w:rsidR="00A4337C" w:rsidRPr="009B32C3">
        <w:rPr>
          <w:color w:val="000D2D"/>
        </w:rPr>
        <w:t xml:space="preserve"> those execution venues that enable </w:t>
      </w:r>
      <w:r w:rsidR="005834A8" w:rsidRPr="009B32C3">
        <w:rPr>
          <w:color w:val="000D2D"/>
        </w:rPr>
        <w:t>it</w:t>
      </w:r>
      <w:r w:rsidR="00A4337C" w:rsidRPr="009B32C3">
        <w:rPr>
          <w:color w:val="000D2D"/>
        </w:rPr>
        <w:t xml:space="preserve"> to obtain on a consistent basis the best possible result for the execution of client orders.</w:t>
      </w:r>
    </w:p>
    <w:p w14:paraId="36D8AE02" w14:textId="77777777" w:rsidR="00FD024E" w:rsidRPr="009B32C3" w:rsidRDefault="00FD024E" w:rsidP="00A4337C">
      <w:pPr>
        <w:rPr>
          <w:color w:val="000D2D"/>
        </w:rPr>
      </w:pPr>
    </w:p>
    <w:p w14:paraId="0B763D26" w14:textId="316ACF23" w:rsidR="000E2F3C" w:rsidRDefault="000E2F3C" w:rsidP="000E2F3C">
      <w:pPr>
        <w:pStyle w:val="ListParagraph"/>
        <w:numPr>
          <w:ilvl w:val="0"/>
          <w:numId w:val="2"/>
        </w:numPr>
        <w:spacing w:after="0" w:line="240" w:lineRule="auto"/>
        <w:ind w:left="567" w:hanging="567"/>
        <w:rPr>
          <w:b/>
          <w:color w:val="000D2D"/>
          <w:sz w:val="24"/>
          <w:szCs w:val="24"/>
        </w:rPr>
      </w:pPr>
      <w:r w:rsidRPr="009B32C3">
        <w:rPr>
          <w:b/>
          <w:color w:val="000D2D"/>
          <w:sz w:val="24"/>
          <w:szCs w:val="24"/>
        </w:rPr>
        <w:lastRenderedPageBreak/>
        <w:t>REGU</w:t>
      </w:r>
      <w:r w:rsidR="005C64C0" w:rsidRPr="009B32C3">
        <w:rPr>
          <w:b/>
          <w:color w:val="000D2D"/>
          <w:sz w:val="24"/>
          <w:szCs w:val="24"/>
        </w:rPr>
        <w:t>L</w:t>
      </w:r>
      <w:r w:rsidRPr="009B32C3">
        <w:rPr>
          <w:b/>
          <w:color w:val="000D2D"/>
          <w:sz w:val="24"/>
          <w:szCs w:val="24"/>
        </w:rPr>
        <w:t xml:space="preserve">ATORY STANDARDS 28 (RTS 28) </w:t>
      </w:r>
    </w:p>
    <w:p w14:paraId="69994C4D" w14:textId="77777777" w:rsidR="00425631" w:rsidRPr="00425631" w:rsidRDefault="00425631" w:rsidP="00425631">
      <w:pPr>
        <w:spacing w:after="0" w:line="240" w:lineRule="auto"/>
        <w:rPr>
          <w:b/>
          <w:color w:val="000D2D"/>
          <w:sz w:val="24"/>
          <w:szCs w:val="24"/>
        </w:rPr>
      </w:pPr>
    </w:p>
    <w:p w14:paraId="5214A1FC" w14:textId="39D6F5C5" w:rsidR="000E2F3C" w:rsidRPr="009B32C3" w:rsidRDefault="000E2F3C" w:rsidP="000E2F3C">
      <w:pPr>
        <w:rPr>
          <w:color w:val="000D2D"/>
        </w:rPr>
      </w:pPr>
      <w:r w:rsidRPr="009B32C3">
        <w:rPr>
          <w:color w:val="000D2D"/>
        </w:rPr>
        <w:t xml:space="preserve">As required by RTS 28, and as outlined in the Tables </w:t>
      </w:r>
      <w:r w:rsidR="00BC1282" w:rsidRPr="009B32C3">
        <w:rPr>
          <w:color w:val="000D2D"/>
        </w:rPr>
        <w:t>outlined</w:t>
      </w:r>
      <w:r w:rsidRPr="009B32C3">
        <w:rPr>
          <w:color w:val="000D2D"/>
        </w:rPr>
        <w:t xml:space="preserve"> </w:t>
      </w:r>
      <w:r w:rsidR="00BC1282" w:rsidRPr="009B32C3">
        <w:rPr>
          <w:color w:val="000D2D"/>
        </w:rPr>
        <w:t>in</w:t>
      </w:r>
      <w:r w:rsidRPr="009B32C3">
        <w:rPr>
          <w:color w:val="000D2D"/>
        </w:rPr>
        <w:t xml:space="preserve"> Section 4 below, H</w:t>
      </w:r>
      <w:r w:rsidR="00D75F53">
        <w:rPr>
          <w:color w:val="000D2D"/>
        </w:rPr>
        <w:t>ottCo</w:t>
      </w:r>
      <w:r w:rsidRPr="009B32C3">
        <w:rPr>
          <w:color w:val="000D2D"/>
        </w:rPr>
        <w:t xml:space="preserve"> has set out (for each class of financial instruments) the relative importance it assigns to the following execution factors: price, costs, speed, likelihood of execution, size and nature of the order. </w:t>
      </w:r>
    </w:p>
    <w:p w14:paraId="7C972FD0" w14:textId="468D1258" w:rsidR="000E2F3C" w:rsidRPr="009B32C3" w:rsidRDefault="000E2F3C" w:rsidP="000E2F3C">
      <w:pPr>
        <w:rPr>
          <w:color w:val="000D2D"/>
        </w:rPr>
      </w:pPr>
      <w:r w:rsidRPr="009B32C3">
        <w:rPr>
          <w:color w:val="000D2D"/>
        </w:rPr>
        <w:t>In its selection of brokers and order execution, H</w:t>
      </w:r>
      <w:r w:rsidR="00D75F53">
        <w:rPr>
          <w:color w:val="000D2D"/>
        </w:rPr>
        <w:t>ottCo</w:t>
      </w:r>
      <w:r w:rsidRPr="009B32C3">
        <w:rPr>
          <w:color w:val="000D2D"/>
        </w:rPr>
        <w:t xml:space="preserve"> applies the same process consistently across all of its clients, except where a client has directed</w:t>
      </w:r>
      <w:r w:rsidR="00D75F53">
        <w:rPr>
          <w:color w:val="000D2D"/>
        </w:rPr>
        <w:t xml:space="preserve"> HottCo</w:t>
      </w:r>
      <w:r w:rsidRPr="009B32C3">
        <w:rPr>
          <w:color w:val="000D2D"/>
        </w:rPr>
        <w:t xml:space="preserve"> to deal exclusively through a particular broker of the client’s choice.</w:t>
      </w:r>
    </w:p>
    <w:p w14:paraId="4F1234A6" w14:textId="767CCAAC" w:rsidR="000E2F3C" w:rsidRPr="009B32C3" w:rsidRDefault="000E2F3C" w:rsidP="000E2F3C">
      <w:pPr>
        <w:rPr>
          <w:color w:val="000D2D"/>
        </w:rPr>
      </w:pPr>
      <w:r w:rsidRPr="009B32C3">
        <w:rPr>
          <w:color w:val="000D2D"/>
        </w:rPr>
        <w:t>Broker execution performance in listed equities is monitored on a continuous basis by H</w:t>
      </w:r>
      <w:r w:rsidR="00D75F53">
        <w:rPr>
          <w:color w:val="000D2D"/>
        </w:rPr>
        <w:t>ottCo</w:t>
      </w:r>
      <w:r w:rsidRPr="009B32C3">
        <w:rPr>
          <w:color w:val="000D2D"/>
        </w:rPr>
        <w:t xml:space="preserve">’s portfolio managers. Once a trade has been placed with a broker or a counterparty, prices are checked against the prevailing price in the market; its progress is monitored on a real time basis. The executed price is monitored against the prevailing </w:t>
      </w:r>
      <w:r w:rsidR="00EE65F2" w:rsidRPr="009B32C3">
        <w:rPr>
          <w:color w:val="000D2D"/>
        </w:rPr>
        <w:t>market price at the time of execution</w:t>
      </w:r>
      <w:r w:rsidRPr="009B32C3">
        <w:rPr>
          <w:color w:val="000D2D"/>
        </w:rPr>
        <w:t xml:space="preserve">. </w:t>
      </w:r>
    </w:p>
    <w:p w14:paraId="087AA856" w14:textId="6FE3D244" w:rsidR="00A631EA" w:rsidRPr="009B32C3" w:rsidRDefault="00A631EA" w:rsidP="00A4337C">
      <w:pPr>
        <w:rPr>
          <w:color w:val="000D2D"/>
        </w:rPr>
      </w:pPr>
      <w:r w:rsidRPr="009B32C3">
        <w:rPr>
          <w:color w:val="000D2D"/>
        </w:rPr>
        <w:t>H</w:t>
      </w:r>
      <w:r w:rsidR="00D75F53">
        <w:rPr>
          <w:color w:val="000D2D"/>
        </w:rPr>
        <w:t>ottCo</w:t>
      </w:r>
      <w:r w:rsidR="000E2F3C" w:rsidRPr="009B32C3">
        <w:rPr>
          <w:color w:val="000D2D"/>
        </w:rPr>
        <w:t xml:space="preserve"> works to identify and establish appropriate benchmarks for our style of investing and process. The analysis aims to capture the effectiveness of the execution process in aggregate whilst also identifying exceptions based on predefined criteria and tolerances versus benchmarks that may include opening and closing prices, volume and volatility events and possibly news events.</w:t>
      </w:r>
    </w:p>
    <w:p w14:paraId="31757FC1" w14:textId="77777777" w:rsidR="00425631" w:rsidRDefault="00A631EA" w:rsidP="00425631">
      <w:pPr>
        <w:pStyle w:val="ListParagraph"/>
        <w:numPr>
          <w:ilvl w:val="0"/>
          <w:numId w:val="2"/>
        </w:numPr>
        <w:spacing w:before="60" w:after="0"/>
        <w:ind w:left="567" w:hanging="567"/>
        <w:rPr>
          <w:color w:val="000D2D"/>
        </w:rPr>
      </w:pPr>
      <w:r w:rsidRPr="00425631">
        <w:rPr>
          <w:b/>
          <w:color w:val="000D2D"/>
        </w:rPr>
        <w:t>TOP FIVE BROKERS</w:t>
      </w:r>
      <w:r w:rsidR="00BC1282" w:rsidRPr="00425631">
        <w:rPr>
          <w:b/>
          <w:color w:val="000D2D"/>
        </w:rPr>
        <w:t>/COUNTERPARTIES</w:t>
      </w:r>
      <w:r w:rsidRPr="00425631">
        <w:rPr>
          <w:b/>
          <w:color w:val="000D2D"/>
        </w:rPr>
        <w:t xml:space="preserve"> BY CLASS OF FINANCIAL INSTRUMENT</w:t>
      </w:r>
    </w:p>
    <w:p w14:paraId="50DF4A0E" w14:textId="5270BED5" w:rsidR="005C64C0" w:rsidRPr="00425631" w:rsidRDefault="00425631" w:rsidP="00425631">
      <w:pPr>
        <w:spacing w:after="0"/>
        <w:rPr>
          <w:color w:val="000D2D"/>
        </w:rPr>
      </w:pPr>
      <w:r>
        <w:rPr>
          <w:color w:val="000D2D"/>
        </w:rPr>
        <w:br/>
      </w:r>
      <w:r w:rsidR="00A631EA" w:rsidRPr="00425631">
        <w:rPr>
          <w:color w:val="000D2D"/>
        </w:rPr>
        <w:t xml:space="preserve">RTS 28 requires </w:t>
      </w:r>
      <w:r w:rsidR="005C64C0" w:rsidRPr="00425631">
        <w:rPr>
          <w:color w:val="000D2D"/>
        </w:rPr>
        <w:t>H</w:t>
      </w:r>
      <w:r w:rsidR="00D75F53">
        <w:rPr>
          <w:color w:val="000D2D"/>
        </w:rPr>
        <w:t>ottCo</w:t>
      </w:r>
      <w:r w:rsidR="00A631EA" w:rsidRPr="00425631">
        <w:rPr>
          <w:color w:val="000D2D"/>
        </w:rPr>
        <w:t xml:space="preserve"> to set out the percentage of orders that were passive and aggressive orders. </w:t>
      </w:r>
    </w:p>
    <w:p w14:paraId="36A2B817" w14:textId="77777777" w:rsidR="005C64C0" w:rsidRPr="009B32C3" w:rsidRDefault="00A631EA" w:rsidP="00425631">
      <w:pPr>
        <w:spacing w:after="0"/>
        <w:rPr>
          <w:color w:val="000D2D"/>
        </w:rPr>
      </w:pPr>
      <w:r w:rsidRPr="009B32C3">
        <w:rPr>
          <w:color w:val="000D2D"/>
        </w:rPr>
        <w:t>A ‘</w:t>
      </w:r>
      <w:r w:rsidRPr="009B32C3">
        <w:rPr>
          <w:b/>
          <w:color w:val="000D2D"/>
        </w:rPr>
        <w:t>passive order</w:t>
      </w:r>
      <w:r w:rsidRPr="009B32C3">
        <w:rPr>
          <w:color w:val="000D2D"/>
        </w:rPr>
        <w:t xml:space="preserve">’ is </w:t>
      </w:r>
      <w:r w:rsidR="005C64C0" w:rsidRPr="009B32C3">
        <w:rPr>
          <w:color w:val="000D2D"/>
        </w:rPr>
        <w:t xml:space="preserve">defined as </w:t>
      </w:r>
      <w:r w:rsidRPr="009B32C3">
        <w:rPr>
          <w:color w:val="000D2D"/>
        </w:rPr>
        <w:t xml:space="preserve">an order </w:t>
      </w:r>
      <w:r w:rsidR="005C64C0" w:rsidRPr="009B32C3">
        <w:rPr>
          <w:color w:val="000D2D"/>
        </w:rPr>
        <w:t xml:space="preserve">entered into the order book </w:t>
      </w:r>
      <w:r w:rsidRPr="009B32C3">
        <w:rPr>
          <w:color w:val="000D2D"/>
        </w:rPr>
        <w:t>that effectively provides liquidity</w:t>
      </w:r>
      <w:r w:rsidR="005C64C0" w:rsidRPr="009B32C3">
        <w:rPr>
          <w:color w:val="000D2D"/>
        </w:rPr>
        <w:t>.</w:t>
      </w:r>
    </w:p>
    <w:p w14:paraId="1B7D1489" w14:textId="77777777" w:rsidR="005C64C0" w:rsidRPr="009B32C3" w:rsidRDefault="005C64C0" w:rsidP="00425631">
      <w:pPr>
        <w:spacing w:after="0"/>
        <w:rPr>
          <w:color w:val="000D2D"/>
        </w:rPr>
      </w:pPr>
      <w:r w:rsidRPr="009B32C3">
        <w:rPr>
          <w:color w:val="000D2D"/>
        </w:rPr>
        <w:t>A</w:t>
      </w:r>
      <w:r w:rsidR="00A631EA" w:rsidRPr="009B32C3">
        <w:rPr>
          <w:color w:val="000D2D"/>
        </w:rPr>
        <w:t>n ‘</w:t>
      </w:r>
      <w:r w:rsidR="00A631EA" w:rsidRPr="009B32C3">
        <w:rPr>
          <w:b/>
          <w:color w:val="000D2D"/>
        </w:rPr>
        <w:t>aggressive order</w:t>
      </w:r>
      <w:r w:rsidR="00A631EA" w:rsidRPr="009B32C3">
        <w:rPr>
          <w:color w:val="000D2D"/>
        </w:rPr>
        <w:t xml:space="preserve">’ is </w:t>
      </w:r>
      <w:r w:rsidRPr="009B32C3">
        <w:rPr>
          <w:color w:val="000D2D"/>
        </w:rPr>
        <w:t xml:space="preserve">defined as an order entered into the order book that effectively </w:t>
      </w:r>
      <w:r w:rsidR="00A631EA" w:rsidRPr="009B32C3">
        <w:rPr>
          <w:color w:val="000D2D"/>
        </w:rPr>
        <w:t xml:space="preserve">takes liquidity. </w:t>
      </w:r>
    </w:p>
    <w:p w14:paraId="28899EDE" w14:textId="77777777" w:rsidR="005C64C0" w:rsidRPr="009B32C3" w:rsidRDefault="005C64C0" w:rsidP="00425631">
      <w:pPr>
        <w:spacing w:after="0"/>
        <w:rPr>
          <w:color w:val="000D2D"/>
        </w:rPr>
      </w:pPr>
      <w:r w:rsidRPr="009B32C3">
        <w:rPr>
          <w:color w:val="000D2D"/>
        </w:rPr>
        <w:t>A ‘</w:t>
      </w:r>
      <w:r w:rsidRPr="009B32C3">
        <w:rPr>
          <w:b/>
          <w:color w:val="000D2D"/>
        </w:rPr>
        <w:t>directed order’</w:t>
      </w:r>
      <w:r w:rsidR="00BC1282" w:rsidRPr="009B32C3">
        <w:rPr>
          <w:color w:val="000D2D"/>
        </w:rPr>
        <w:t xml:space="preserve"> is defined as an order where a specific execution venue was specified by the client prior to the execution of the order.</w:t>
      </w:r>
    </w:p>
    <w:p w14:paraId="42A06EFC" w14:textId="77777777" w:rsidR="005C64C0" w:rsidRPr="009B32C3" w:rsidRDefault="005C64C0" w:rsidP="00425631">
      <w:pPr>
        <w:spacing w:after="0"/>
        <w:rPr>
          <w:color w:val="000D2D"/>
        </w:rPr>
      </w:pPr>
    </w:p>
    <w:p w14:paraId="1FCE8633" w14:textId="77777777" w:rsidR="00A631EA" w:rsidRPr="009B32C3" w:rsidRDefault="00A631EA" w:rsidP="00425631">
      <w:pPr>
        <w:spacing w:after="0"/>
        <w:rPr>
          <w:color w:val="000D2D"/>
        </w:rPr>
      </w:pPr>
      <w:r w:rsidRPr="009B32C3">
        <w:rPr>
          <w:color w:val="000D2D"/>
        </w:rPr>
        <w:t xml:space="preserve">As set out in ESMA’s Investor Protection Q&amp;A (Q 14), portfolio managers should only identify passive or aggressive orders where the portfolio manager has attached a specific instruction to an order, and that instruction is understood to mean that the broker will execute the order in a fashion that is either passive or aggressive. </w:t>
      </w:r>
    </w:p>
    <w:p w14:paraId="674A8FD8" w14:textId="701AE0E1" w:rsidR="00421F4F" w:rsidRPr="009B32C3" w:rsidRDefault="00D03D34" w:rsidP="00425631">
      <w:pPr>
        <w:rPr>
          <w:color w:val="000D2D"/>
          <w:sz w:val="24"/>
          <w:szCs w:val="24"/>
        </w:rPr>
      </w:pPr>
      <w:r w:rsidRPr="009B32C3">
        <w:rPr>
          <w:color w:val="000D2D"/>
          <w:sz w:val="24"/>
          <w:szCs w:val="24"/>
        </w:rPr>
        <w:br w:type="page"/>
      </w:r>
    </w:p>
    <w:tbl>
      <w:tblPr>
        <w:tblStyle w:val="TableGrid5"/>
        <w:tblW w:w="14029" w:type="dxa"/>
        <w:tblLook w:val="04A0" w:firstRow="1" w:lastRow="0" w:firstColumn="1" w:lastColumn="0" w:noHBand="0" w:noVBand="1"/>
      </w:tblPr>
      <w:tblGrid>
        <w:gridCol w:w="3256"/>
        <w:gridCol w:w="2409"/>
        <w:gridCol w:w="2410"/>
        <w:gridCol w:w="1957"/>
        <w:gridCol w:w="1958"/>
        <w:gridCol w:w="2039"/>
      </w:tblGrid>
      <w:tr w:rsidR="008D7590" w:rsidRPr="008D7590" w14:paraId="0DD31C20" w14:textId="77777777" w:rsidTr="00425631">
        <w:trPr>
          <w:trHeight w:hRule="exact" w:val="397"/>
        </w:trPr>
        <w:tc>
          <w:tcPr>
            <w:tcW w:w="3256" w:type="dxa"/>
            <w:shd w:val="clear" w:color="auto" w:fill="000D2D"/>
          </w:tcPr>
          <w:p w14:paraId="327D50D9" w14:textId="77777777" w:rsidR="00141C9B" w:rsidRPr="008D7590" w:rsidRDefault="00141C9B" w:rsidP="00141C9B">
            <w:pPr>
              <w:tabs>
                <w:tab w:val="left" w:pos="419"/>
                <w:tab w:val="left" w:pos="570"/>
              </w:tabs>
              <w:spacing w:before="60" w:after="60"/>
              <w:rPr>
                <w:b/>
                <w:color w:val="ABA9AA"/>
              </w:rPr>
            </w:pPr>
            <w:r w:rsidRPr="008D7590">
              <w:rPr>
                <w:color w:val="ABA9AA"/>
                <w:sz w:val="24"/>
                <w:szCs w:val="24"/>
              </w:rPr>
              <w:lastRenderedPageBreak/>
              <w:br w:type="page"/>
            </w:r>
            <w:r w:rsidRPr="008D7590">
              <w:rPr>
                <w:b/>
                <w:color w:val="ABA9AA"/>
              </w:rPr>
              <w:t>Class of Instrument:</w:t>
            </w:r>
            <w:r w:rsidRPr="008D7590">
              <w:rPr>
                <w:b/>
                <w:color w:val="ABA9AA"/>
              </w:rPr>
              <w:tab/>
            </w:r>
          </w:p>
        </w:tc>
        <w:tc>
          <w:tcPr>
            <w:tcW w:w="10773" w:type="dxa"/>
            <w:gridSpan w:val="5"/>
            <w:shd w:val="clear" w:color="auto" w:fill="000D2D"/>
          </w:tcPr>
          <w:p w14:paraId="0C936695" w14:textId="77777777" w:rsidR="00141C9B" w:rsidRPr="008D7590" w:rsidRDefault="00141C9B" w:rsidP="00141C9B">
            <w:pPr>
              <w:spacing w:before="60" w:after="60"/>
              <w:rPr>
                <w:b/>
                <w:color w:val="ABA9AA"/>
              </w:rPr>
            </w:pPr>
            <w:r w:rsidRPr="008D7590">
              <w:rPr>
                <w:b/>
                <w:color w:val="ABA9AA"/>
              </w:rPr>
              <w:t>(a) Equities - Shares &amp; Depositary Receipts - (i) Tick size liquidity bands 5 and 6 (from 2000 trades per day)</w:t>
            </w:r>
          </w:p>
        </w:tc>
      </w:tr>
      <w:tr w:rsidR="009B32C3" w:rsidRPr="009B32C3" w14:paraId="52BF865C" w14:textId="77777777" w:rsidTr="00141C9B">
        <w:tc>
          <w:tcPr>
            <w:tcW w:w="5665" w:type="dxa"/>
            <w:gridSpan w:val="2"/>
          </w:tcPr>
          <w:p w14:paraId="76EAC1BA" w14:textId="77777777" w:rsidR="00141C9B" w:rsidRPr="009B32C3" w:rsidRDefault="00141C9B" w:rsidP="00141C9B">
            <w:pPr>
              <w:spacing w:before="60" w:after="60"/>
              <w:rPr>
                <w:color w:val="000D2D"/>
              </w:rPr>
            </w:pPr>
            <w:r w:rsidRPr="009B32C3">
              <w:rPr>
                <w:b/>
                <w:color w:val="000D2D"/>
              </w:rPr>
              <w:t>Notification if &lt;1 average trade per business day in the previous year:</w:t>
            </w:r>
          </w:p>
        </w:tc>
        <w:tc>
          <w:tcPr>
            <w:tcW w:w="2410" w:type="dxa"/>
          </w:tcPr>
          <w:p w14:paraId="2716EF10" w14:textId="543DDFB4" w:rsidR="00141C9B" w:rsidRPr="009B32C3" w:rsidRDefault="00BD4ECD" w:rsidP="00141C9B">
            <w:pPr>
              <w:spacing w:before="60" w:after="60"/>
              <w:rPr>
                <w:b/>
                <w:color w:val="000D2D"/>
              </w:rPr>
            </w:pPr>
            <w:r w:rsidRPr="009B32C3">
              <w:rPr>
                <w:b/>
                <w:color w:val="000D2D"/>
              </w:rPr>
              <w:t xml:space="preserve">Y </w:t>
            </w:r>
          </w:p>
        </w:tc>
        <w:tc>
          <w:tcPr>
            <w:tcW w:w="3915" w:type="dxa"/>
            <w:gridSpan w:val="2"/>
          </w:tcPr>
          <w:p w14:paraId="35DE0145" w14:textId="77777777" w:rsidR="00141C9B" w:rsidRPr="009B32C3" w:rsidRDefault="00141C9B" w:rsidP="00141C9B">
            <w:pPr>
              <w:spacing w:before="60" w:after="60"/>
              <w:rPr>
                <w:b/>
                <w:color w:val="000D2D"/>
              </w:rPr>
            </w:pPr>
            <w:r w:rsidRPr="009B32C3">
              <w:rPr>
                <w:b/>
                <w:color w:val="000D2D"/>
              </w:rPr>
              <w:t>Class Percentage of total equity volumes:</w:t>
            </w:r>
          </w:p>
        </w:tc>
        <w:tc>
          <w:tcPr>
            <w:tcW w:w="2039" w:type="dxa"/>
          </w:tcPr>
          <w:p w14:paraId="20E38058" w14:textId="1792DA95" w:rsidR="00141C9B" w:rsidRPr="009B32C3" w:rsidRDefault="007A6F76" w:rsidP="00141C9B">
            <w:pPr>
              <w:spacing w:before="60" w:after="60"/>
              <w:rPr>
                <w:b/>
                <w:color w:val="000D2D"/>
              </w:rPr>
            </w:pPr>
            <w:r w:rsidRPr="007A6F76">
              <w:rPr>
                <w:b/>
                <w:color w:val="000D2D"/>
              </w:rPr>
              <w:t>6</w:t>
            </w:r>
            <w:r w:rsidR="00947932">
              <w:rPr>
                <w:b/>
                <w:color w:val="000D2D"/>
              </w:rPr>
              <w:t>0</w:t>
            </w:r>
            <w:r w:rsidR="00BD4ECD" w:rsidRPr="007A6F76">
              <w:rPr>
                <w:b/>
                <w:color w:val="000D2D"/>
              </w:rPr>
              <w:t>.</w:t>
            </w:r>
            <w:r w:rsidR="00947932">
              <w:rPr>
                <w:b/>
                <w:color w:val="000D2D"/>
              </w:rPr>
              <w:t>23</w:t>
            </w:r>
            <w:r w:rsidR="00BD4ECD" w:rsidRPr="007A6F76">
              <w:rPr>
                <w:b/>
                <w:color w:val="000D2D"/>
              </w:rPr>
              <w:t>%</w:t>
            </w:r>
          </w:p>
        </w:tc>
      </w:tr>
      <w:tr w:rsidR="009B32C3" w:rsidRPr="009B32C3" w14:paraId="50DC49EC" w14:textId="77777777" w:rsidTr="00141C9B">
        <w:tc>
          <w:tcPr>
            <w:tcW w:w="3256" w:type="dxa"/>
          </w:tcPr>
          <w:p w14:paraId="189261D3" w14:textId="77777777" w:rsidR="00141C9B" w:rsidRPr="009B32C3" w:rsidRDefault="00141C9B" w:rsidP="00141C9B">
            <w:pPr>
              <w:spacing w:before="60" w:after="60"/>
              <w:rPr>
                <w:b/>
                <w:color w:val="000D2D"/>
              </w:rPr>
            </w:pPr>
            <w:r w:rsidRPr="009B32C3">
              <w:rPr>
                <w:b/>
                <w:color w:val="000D2D"/>
              </w:rPr>
              <w:t>Top five execution venues ranked in terms of trading volumes (descending order)</w:t>
            </w:r>
          </w:p>
        </w:tc>
        <w:tc>
          <w:tcPr>
            <w:tcW w:w="2409" w:type="dxa"/>
          </w:tcPr>
          <w:p w14:paraId="42BF8C6E" w14:textId="77777777" w:rsidR="00141C9B" w:rsidRPr="009B32C3" w:rsidRDefault="00141C9B" w:rsidP="00141C9B">
            <w:pPr>
              <w:spacing w:before="60" w:after="60"/>
              <w:rPr>
                <w:b/>
                <w:color w:val="000D2D"/>
              </w:rPr>
            </w:pPr>
            <w:r w:rsidRPr="009B32C3">
              <w:rPr>
                <w:b/>
                <w:color w:val="000D2D"/>
              </w:rPr>
              <w:t>Proportion of volume traded as a percentage of total in that class</w:t>
            </w:r>
          </w:p>
        </w:tc>
        <w:tc>
          <w:tcPr>
            <w:tcW w:w="2410" w:type="dxa"/>
          </w:tcPr>
          <w:p w14:paraId="497B3B51" w14:textId="77777777" w:rsidR="00141C9B" w:rsidRPr="009B32C3" w:rsidRDefault="00141C9B" w:rsidP="00141C9B">
            <w:pPr>
              <w:spacing w:before="60" w:after="60"/>
              <w:rPr>
                <w:b/>
                <w:color w:val="000D2D"/>
              </w:rPr>
            </w:pPr>
            <w:r w:rsidRPr="009B32C3">
              <w:rPr>
                <w:b/>
                <w:color w:val="000D2D"/>
              </w:rPr>
              <w:t>Proportion of orders executed as percentage of total in that class</w:t>
            </w:r>
          </w:p>
        </w:tc>
        <w:tc>
          <w:tcPr>
            <w:tcW w:w="1957" w:type="dxa"/>
          </w:tcPr>
          <w:p w14:paraId="179F66B9" w14:textId="77777777" w:rsidR="00141C9B" w:rsidRPr="009B32C3" w:rsidRDefault="00141C9B" w:rsidP="00141C9B">
            <w:pPr>
              <w:spacing w:before="60" w:after="60"/>
              <w:rPr>
                <w:b/>
                <w:color w:val="000D2D"/>
              </w:rPr>
            </w:pPr>
            <w:r w:rsidRPr="009B32C3">
              <w:rPr>
                <w:b/>
                <w:color w:val="000D2D"/>
              </w:rPr>
              <w:t>Percentage of passive orders</w:t>
            </w:r>
          </w:p>
        </w:tc>
        <w:tc>
          <w:tcPr>
            <w:tcW w:w="1958" w:type="dxa"/>
          </w:tcPr>
          <w:p w14:paraId="593487F2" w14:textId="77777777" w:rsidR="00141C9B" w:rsidRPr="009B32C3" w:rsidRDefault="00141C9B" w:rsidP="00141C9B">
            <w:pPr>
              <w:spacing w:before="60" w:after="60"/>
              <w:rPr>
                <w:b/>
                <w:color w:val="000D2D"/>
              </w:rPr>
            </w:pPr>
            <w:r w:rsidRPr="009B32C3">
              <w:rPr>
                <w:b/>
                <w:color w:val="000D2D"/>
              </w:rPr>
              <w:t>Percentage of aggressive orders</w:t>
            </w:r>
          </w:p>
        </w:tc>
        <w:tc>
          <w:tcPr>
            <w:tcW w:w="2039" w:type="dxa"/>
          </w:tcPr>
          <w:p w14:paraId="4F50265B" w14:textId="77777777" w:rsidR="00141C9B" w:rsidRPr="009B32C3" w:rsidRDefault="00141C9B" w:rsidP="00141C9B">
            <w:pPr>
              <w:spacing w:before="60" w:after="60"/>
              <w:rPr>
                <w:b/>
                <w:color w:val="000D2D"/>
              </w:rPr>
            </w:pPr>
            <w:r w:rsidRPr="009B32C3">
              <w:rPr>
                <w:b/>
                <w:color w:val="000D2D"/>
              </w:rPr>
              <w:t>Percentage of directed orders</w:t>
            </w:r>
          </w:p>
        </w:tc>
      </w:tr>
      <w:tr w:rsidR="009B32C3" w:rsidRPr="009B32C3" w14:paraId="70538445" w14:textId="77777777" w:rsidTr="00141C9B">
        <w:tc>
          <w:tcPr>
            <w:tcW w:w="3256" w:type="dxa"/>
          </w:tcPr>
          <w:p w14:paraId="2E0CCCE9" w14:textId="0BC0F30B" w:rsidR="00BD4ECD" w:rsidRPr="009B32C3" w:rsidRDefault="00947932" w:rsidP="00BD4ECD">
            <w:pPr>
              <w:rPr>
                <w:color w:val="000D2D"/>
              </w:rPr>
            </w:pPr>
            <w:r>
              <w:rPr>
                <w:color w:val="000D2D"/>
              </w:rPr>
              <w:t>Credo Group</w:t>
            </w:r>
          </w:p>
        </w:tc>
        <w:tc>
          <w:tcPr>
            <w:tcW w:w="2409" w:type="dxa"/>
          </w:tcPr>
          <w:p w14:paraId="3C1DC8E2" w14:textId="2354B281" w:rsidR="00BD4ECD" w:rsidRPr="00C41638" w:rsidRDefault="00947932" w:rsidP="00141C9B">
            <w:pPr>
              <w:rPr>
                <w:color w:val="000D2D"/>
              </w:rPr>
            </w:pPr>
            <w:r>
              <w:rPr>
                <w:color w:val="000D2D"/>
              </w:rPr>
              <w:t>58</w:t>
            </w:r>
            <w:r w:rsidR="00BD4ECD" w:rsidRPr="00C41638">
              <w:rPr>
                <w:color w:val="000D2D"/>
              </w:rPr>
              <w:t>.</w:t>
            </w:r>
            <w:r>
              <w:rPr>
                <w:color w:val="000D2D"/>
              </w:rPr>
              <w:t>59</w:t>
            </w:r>
            <w:r w:rsidR="00BD4ECD" w:rsidRPr="00C41638">
              <w:rPr>
                <w:color w:val="000D2D"/>
              </w:rPr>
              <w:t>%</w:t>
            </w:r>
          </w:p>
        </w:tc>
        <w:tc>
          <w:tcPr>
            <w:tcW w:w="2410" w:type="dxa"/>
          </w:tcPr>
          <w:p w14:paraId="5DB04F74" w14:textId="0F9A093A" w:rsidR="00BD4ECD" w:rsidRPr="00C41638" w:rsidRDefault="00BD4ECD" w:rsidP="00141C9B">
            <w:pPr>
              <w:rPr>
                <w:color w:val="000D2D"/>
              </w:rPr>
            </w:pPr>
            <w:r w:rsidRPr="00C41638">
              <w:rPr>
                <w:color w:val="000D2D"/>
              </w:rPr>
              <w:t>7</w:t>
            </w:r>
            <w:r w:rsidR="00947932">
              <w:rPr>
                <w:color w:val="000D2D"/>
              </w:rPr>
              <w:t>0</w:t>
            </w:r>
            <w:r w:rsidRPr="00C41638">
              <w:rPr>
                <w:color w:val="000D2D"/>
              </w:rPr>
              <w:t>.</w:t>
            </w:r>
            <w:r w:rsidR="00947932">
              <w:rPr>
                <w:color w:val="000D2D"/>
              </w:rPr>
              <w:t>16</w:t>
            </w:r>
            <w:r w:rsidRPr="00C41638">
              <w:rPr>
                <w:color w:val="000D2D"/>
              </w:rPr>
              <w:t>%</w:t>
            </w:r>
          </w:p>
        </w:tc>
        <w:tc>
          <w:tcPr>
            <w:tcW w:w="1957" w:type="dxa"/>
          </w:tcPr>
          <w:p w14:paraId="4FE50EAC" w14:textId="23BA8DAF" w:rsidR="00BD4ECD" w:rsidRPr="009B32C3" w:rsidRDefault="00BD4ECD" w:rsidP="00141C9B">
            <w:pPr>
              <w:rPr>
                <w:color w:val="000D2D"/>
              </w:rPr>
            </w:pPr>
            <w:r w:rsidRPr="009B32C3">
              <w:rPr>
                <w:color w:val="000D2D"/>
              </w:rPr>
              <w:t>N/A</w:t>
            </w:r>
          </w:p>
        </w:tc>
        <w:tc>
          <w:tcPr>
            <w:tcW w:w="1958" w:type="dxa"/>
          </w:tcPr>
          <w:p w14:paraId="2170CE27" w14:textId="1703C5DE" w:rsidR="00BD4ECD" w:rsidRPr="009B32C3" w:rsidRDefault="00BD4ECD" w:rsidP="00141C9B">
            <w:pPr>
              <w:rPr>
                <w:color w:val="000D2D"/>
              </w:rPr>
            </w:pPr>
            <w:r w:rsidRPr="009B32C3">
              <w:rPr>
                <w:color w:val="000D2D"/>
              </w:rPr>
              <w:t>N/A</w:t>
            </w:r>
          </w:p>
        </w:tc>
        <w:tc>
          <w:tcPr>
            <w:tcW w:w="2039" w:type="dxa"/>
          </w:tcPr>
          <w:p w14:paraId="7FA176B2" w14:textId="53BC90A2" w:rsidR="00BD4ECD" w:rsidRPr="009B32C3" w:rsidRDefault="00BD4ECD" w:rsidP="00141C9B">
            <w:pPr>
              <w:rPr>
                <w:color w:val="000D2D"/>
              </w:rPr>
            </w:pPr>
            <w:r w:rsidRPr="009B32C3">
              <w:rPr>
                <w:color w:val="000D2D"/>
              </w:rPr>
              <w:t>N/A</w:t>
            </w:r>
          </w:p>
        </w:tc>
      </w:tr>
      <w:tr w:rsidR="009B32C3" w:rsidRPr="009B32C3" w14:paraId="3A030F56" w14:textId="77777777" w:rsidTr="00141C9B">
        <w:tc>
          <w:tcPr>
            <w:tcW w:w="3256" w:type="dxa"/>
          </w:tcPr>
          <w:p w14:paraId="4F0643C6" w14:textId="7584D42D" w:rsidR="00BD4ECD" w:rsidRPr="009B32C3" w:rsidRDefault="00947932" w:rsidP="00141C9B">
            <w:pPr>
              <w:rPr>
                <w:color w:val="000D2D"/>
              </w:rPr>
            </w:pPr>
            <w:r>
              <w:rPr>
                <w:color w:val="000D2D"/>
              </w:rPr>
              <w:t>KBL Luxembourg</w:t>
            </w:r>
          </w:p>
        </w:tc>
        <w:tc>
          <w:tcPr>
            <w:tcW w:w="2409" w:type="dxa"/>
          </w:tcPr>
          <w:p w14:paraId="3E62F4BF" w14:textId="38B53B66" w:rsidR="00BD4ECD" w:rsidRPr="00C41638" w:rsidRDefault="00C41638" w:rsidP="00141C9B">
            <w:pPr>
              <w:rPr>
                <w:color w:val="000D2D"/>
              </w:rPr>
            </w:pPr>
            <w:r w:rsidRPr="00C41638">
              <w:rPr>
                <w:color w:val="000D2D"/>
              </w:rPr>
              <w:t>1</w:t>
            </w:r>
            <w:r w:rsidR="00947932">
              <w:rPr>
                <w:color w:val="000D2D"/>
              </w:rPr>
              <w:t>4</w:t>
            </w:r>
            <w:r w:rsidR="00BD4ECD" w:rsidRPr="00C41638">
              <w:rPr>
                <w:color w:val="000D2D"/>
              </w:rPr>
              <w:t>.</w:t>
            </w:r>
            <w:r w:rsidR="00947932">
              <w:rPr>
                <w:color w:val="000D2D"/>
              </w:rPr>
              <w:t>75</w:t>
            </w:r>
            <w:r w:rsidR="00BD4ECD" w:rsidRPr="00C41638">
              <w:rPr>
                <w:color w:val="000D2D"/>
              </w:rPr>
              <w:t>%</w:t>
            </w:r>
          </w:p>
        </w:tc>
        <w:tc>
          <w:tcPr>
            <w:tcW w:w="2410" w:type="dxa"/>
          </w:tcPr>
          <w:p w14:paraId="755419DA" w14:textId="151A93DE" w:rsidR="00BD4ECD" w:rsidRPr="00C41638" w:rsidRDefault="00947932" w:rsidP="00141C9B">
            <w:pPr>
              <w:rPr>
                <w:color w:val="000D2D"/>
              </w:rPr>
            </w:pPr>
            <w:r>
              <w:rPr>
                <w:color w:val="000D2D"/>
              </w:rPr>
              <w:t>13</w:t>
            </w:r>
            <w:r w:rsidR="00BD4ECD" w:rsidRPr="00C41638">
              <w:rPr>
                <w:color w:val="000D2D"/>
              </w:rPr>
              <w:t>.</w:t>
            </w:r>
            <w:r>
              <w:rPr>
                <w:color w:val="000D2D"/>
              </w:rPr>
              <w:t>33</w:t>
            </w:r>
            <w:r w:rsidR="00BD4ECD" w:rsidRPr="00C41638">
              <w:rPr>
                <w:color w:val="000D2D"/>
              </w:rPr>
              <w:t>%</w:t>
            </w:r>
          </w:p>
        </w:tc>
        <w:tc>
          <w:tcPr>
            <w:tcW w:w="1957" w:type="dxa"/>
          </w:tcPr>
          <w:p w14:paraId="3670B190" w14:textId="5EE6232D" w:rsidR="00BD4ECD" w:rsidRPr="009B32C3" w:rsidRDefault="00BD4ECD" w:rsidP="00141C9B">
            <w:pPr>
              <w:rPr>
                <w:color w:val="000D2D"/>
              </w:rPr>
            </w:pPr>
            <w:r w:rsidRPr="009B32C3">
              <w:rPr>
                <w:color w:val="000D2D"/>
              </w:rPr>
              <w:t>N/A</w:t>
            </w:r>
          </w:p>
        </w:tc>
        <w:tc>
          <w:tcPr>
            <w:tcW w:w="1958" w:type="dxa"/>
          </w:tcPr>
          <w:p w14:paraId="1C58B469" w14:textId="4BACF5FD" w:rsidR="00BD4ECD" w:rsidRPr="009B32C3" w:rsidRDefault="00BD4ECD" w:rsidP="00141C9B">
            <w:pPr>
              <w:rPr>
                <w:color w:val="000D2D"/>
              </w:rPr>
            </w:pPr>
            <w:r w:rsidRPr="009B32C3">
              <w:rPr>
                <w:color w:val="000D2D"/>
              </w:rPr>
              <w:t>N/A</w:t>
            </w:r>
          </w:p>
        </w:tc>
        <w:tc>
          <w:tcPr>
            <w:tcW w:w="2039" w:type="dxa"/>
          </w:tcPr>
          <w:p w14:paraId="120DE47B" w14:textId="7A7C3F0B" w:rsidR="00BD4ECD" w:rsidRPr="009B32C3" w:rsidRDefault="00BD4ECD" w:rsidP="00141C9B">
            <w:pPr>
              <w:rPr>
                <w:color w:val="000D2D"/>
              </w:rPr>
            </w:pPr>
            <w:r w:rsidRPr="009B32C3">
              <w:rPr>
                <w:color w:val="000D2D"/>
              </w:rPr>
              <w:t>N/A</w:t>
            </w:r>
          </w:p>
        </w:tc>
      </w:tr>
      <w:tr w:rsidR="009B32C3" w:rsidRPr="009B32C3" w14:paraId="1E7E65FA" w14:textId="77777777" w:rsidTr="00141C9B">
        <w:tc>
          <w:tcPr>
            <w:tcW w:w="3256" w:type="dxa"/>
          </w:tcPr>
          <w:p w14:paraId="2270291D" w14:textId="74375DD6" w:rsidR="00BD4ECD" w:rsidRPr="009B32C3" w:rsidRDefault="00947932" w:rsidP="00141C9B">
            <w:pPr>
              <w:rPr>
                <w:color w:val="000D2D"/>
              </w:rPr>
            </w:pPr>
            <w:r w:rsidRPr="009B32C3">
              <w:rPr>
                <w:color w:val="000D2D"/>
              </w:rPr>
              <w:t>Bank of Julius Baer Group</w:t>
            </w:r>
          </w:p>
        </w:tc>
        <w:tc>
          <w:tcPr>
            <w:tcW w:w="2409" w:type="dxa"/>
          </w:tcPr>
          <w:p w14:paraId="43E61354" w14:textId="17DDD5C5" w:rsidR="00BD4ECD" w:rsidRPr="00C41638" w:rsidRDefault="00947932" w:rsidP="00141C9B">
            <w:pPr>
              <w:rPr>
                <w:color w:val="000D2D"/>
              </w:rPr>
            </w:pPr>
            <w:r>
              <w:rPr>
                <w:color w:val="000D2D"/>
              </w:rPr>
              <w:t>11</w:t>
            </w:r>
            <w:r w:rsidR="00BD4ECD" w:rsidRPr="00C41638">
              <w:rPr>
                <w:color w:val="000D2D"/>
              </w:rPr>
              <w:t>.</w:t>
            </w:r>
            <w:r>
              <w:rPr>
                <w:color w:val="000D2D"/>
              </w:rPr>
              <w:t>34</w:t>
            </w:r>
            <w:r w:rsidR="00BD4ECD" w:rsidRPr="00C41638">
              <w:rPr>
                <w:color w:val="000D2D"/>
              </w:rPr>
              <w:t>%</w:t>
            </w:r>
          </w:p>
        </w:tc>
        <w:tc>
          <w:tcPr>
            <w:tcW w:w="2410" w:type="dxa"/>
          </w:tcPr>
          <w:p w14:paraId="6C805687" w14:textId="7BC4A382" w:rsidR="00BD4ECD" w:rsidRPr="00C41638" w:rsidRDefault="00947932" w:rsidP="00141C9B">
            <w:pPr>
              <w:rPr>
                <w:color w:val="000D2D"/>
              </w:rPr>
            </w:pPr>
            <w:r>
              <w:rPr>
                <w:color w:val="000D2D"/>
              </w:rPr>
              <w:t xml:space="preserve">  9</w:t>
            </w:r>
            <w:r w:rsidR="00BD4ECD" w:rsidRPr="00C41638">
              <w:rPr>
                <w:color w:val="000D2D"/>
              </w:rPr>
              <w:t>.</w:t>
            </w:r>
            <w:r>
              <w:rPr>
                <w:color w:val="000D2D"/>
              </w:rPr>
              <w:t>2</w:t>
            </w:r>
            <w:r w:rsidR="00C41638" w:rsidRPr="00C41638">
              <w:rPr>
                <w:color w:val="000D2D"/>
              </w:rPr>
              <w:t>1</w:t>
            </w:r>
            <w:r w:rsidR="00BD4ECD" w:rsidRPr="00C41638">
              <w:rPr>
                <w:color w:val="000D2D"/>
              </w:rPr>
              <w:t>%</w:t>
            </w:r>
          </w:p>
        </w:tc>
        <w:tc>
          <w:tcPr>
            <w:tcW w:w="1957" w:type="dxa"/>
          </w:tcPr>
          <w:p w14:paraId="12847128" w14:textId="58ABEF74" w:rsidR="00BD4ECD" w:rsidRPr="009B32C3" w:rsidRDefault="00BD4ECD" w:rsidP="00141C9B">
            <w:pPr>
              <w:rPr>
                <w:color w:val="000D2D"/>
              </w:rPr>
            </w:pPr>
            <w:r w:rsidRPr="009B32C3">
              <w:rPr>
                <w:color w:val="000D2D"/>
              </w:rPr>
              <w:t>N/A</w:t>
            </w:r>
          </w:p>
        </w:tc>
        <w:tc>
          <w:tcPr>
            <w:tcW w:w="1958" w:type="dxa"/>
          </w:tcPr>
          <w:p w14:paraId="7DF5C599" w14:textId="340F5281" w:rsidR="00BD4ECD" w:rsidRPr="009B32C3" w:rsidRDefault="00BD4ECD" w:rsidP="00141C9B">
            <w:pPr>
              <w:rPr>
                <w:color w:val="000D2D"/>
              </w:rPr>
            </w:pPr>
            <w:r w:rsidRPr="009B32C3">
              <w:rPr>
                <w:color w:val="000D2D"/>
              </w:rPr>
              <w:t>N/A</w:t>
            </w:r>
          </w:p>
        </w:tc>
        <w:tc>
          <w:tcPr>
            <w:tcW w:w="2039" w:type="dxa"/>
          </w:tcPr>
          <w:p w14:paraId="58AA7604" w14:textId="18619311" w:rsidR="00BD4ECD" w:rsidRPr="009B32C3" w:rsidRDefault="00BD4ECD" w:rsidP="00141C9B">
            <w:pPr>
              <w:rPr>
                <w:color w:val="000D2D"/>
              </w:rPr>
            </w:pPr>
            <w:r w:rsidRPr="009B32C3">
              <w:rPr>
                <w:color w:val="000D2D"/>
              </w:rPr>
              <w:t>N/A</w:t>
            </w:r>
          </w:p>
        </w:tc>
      </w:tr>
      <w:tr w:rsidR="009B32C3" w:rsidRPr="009B32C3" w14:paraId="716A43B3" w14:textId="77777777" w:rsidTr="00141C9B">
        <w:tc>
          <w:tcPr>
            <w:tcW w:w="3256" w:type="dxa"/>
          </w:tcPr>
          <w:p w14:paraId="721AD839" w14:textId="7F1B6B9F" w:rsidR="00BD4ECD" w:rsidRPr="009B32C3" w:rsidRDefault="00947932" w:rsidP="00141C9B">
            <w:pPr>
              <w:rPr>
                <w:color w:val="000D2D"/>
              </w:rPr>
            </w:pPr>
            <w:proofErr w:type="spellStart"/>
            <w:r>
              <w:rPr>
                <w:color w:val="000D2D"/>
              </w:rPr>
              <w:t>Ansbacher</w:t>
            </w:r>
            <w:proofErr w:type="spellEnd"/>
            <w:r>
              <w:rPr>
                <w:color w:val="000D2D"/>
              </w:rPr>
              <w:t xml:space="preserve"> (Bahamas) Ltd.</w:t>
            </w:r>
          </w:p>
        </w:tc>
        <w:tc>
          <w:tcPr>
            <w:tcW w:w="2409" w:type="dxa"/>
          </w:tcPr>
          <w:p w14:paraId="0AE5E996" w14:textId="3C7A5A44" w:rsidR="00BD4ECD" w:rsidRPr="00C41638" w:rsidRDefault="00947932" w:rsidP="00141C9B">
            <w:pPr>
              <w:rPr>
                <w:color w:val="000D2D"/>
              </w:rPr>
            </w:pPr>
            <w:r>
              <w:rPr>
                <w:color w:val="000D2D"/>
              </w:rPr>
              <w:t xml:space="preserve">  7</w:t>
            </w:r>
            <w:r w:rsidR="00BD4ECD" w:rsidRPr="00C41638">
              <w:rPr>
                <w:color w:val="000D2D"/>
              </w:rPr>
              <w:t>.</w:t>
            </w:r>
            <w:r>
              <w:rPr>
                <w:color w:val="000D2D"/>
              </w:rPr>
              <w:t>05</w:t>
            </w:r>
            <w:r w:rsidR="00BD4ECD" w:rsidRPr="00C41638">
              <w:rPr>
                <w:color w:val="000D2D"/>
              </w:rPr>
              <w:t xml:space="preserve">% </w:t>
            </w:r>
          </w:p>
        </w:tc>
        <w:tc>
          <w:tcPr>
            <w:tcW w:w="2410" w:type="dxa"/>
          </w:tcPr>
          <w:p w14:paraId="313EE21B" w14:textId="40D281AB" w:rsidR="00BD4ECD" w:rsidRPr="00C41638" w:rsidRDefault="00947932" w:rsidP="00141C9B">
            <w:pPr>
              <w:rPr>
                <w:color w:val="000D2D"/>
              </w:rPr>
            </w:pPr>
            <w:r>
              <w:rPr>
                <w:color w:val="000D2D"/>
              </w:rPr>
              <w:t xml:space="preserve">  3</w:t>
            </w:r>
            <w:r w:rsidR="00BD4ECD" w:rsidRPr="00C41638">
              <w:rPr>
                <w:color w:val="000D2D"/>
              </w:rPr>
              <w:t>.</w:t>
            </w:r>
            <w:r>
              <w:rPr>
                <w:color w:val="000D2D"/>
              </w:rPr>
              <w:t>81</w:t>
            </w:r>
            <w:r w:rsidR="00BD4ECD" w:rsidRPr="00C41638">
              <w:rPr>
                <w:color w:val="000D2D"/>
              </w:rPr>
              <w:t>%</w:t>
            </w:r>
          </w:p>
        </w:tc>
        <w:tc>
          <w:tcPr>
            <w:tcW w:w="1957" w:type="dxa"/>
          </w:tcPr>
          <w:p w14:paraId="5474EBA4" w14:textId="48FE7DD4" w:rsidR="00BD4ECD" w:rsidRPr="009B32C3" w:rsidRDefault="00BD4ECD" w:rsidP="00141C9B">
            <w:pPr>
              <w:rPr>
                <w:color w:val="000D2D"/>
              </w:rPr>
            </w:pPr>
            <w:r w:rsidRPr="009B32C3">
              <w:rPr>
                <w:color w:val="000D2D"/>
              </w:rPr>
              <w:t>N/A</w:t>
            </w:r>
          </w:p>
        </w:tc>
        <w:tc>
          <w:tcPr>
            <w:tcW w:w="1958" w:type="dxa"/>
          </w:tcPr>
          <w:p w14:paraId="2480D782" w14:textId="1711E750" w:rsidR="00BD4ECD" w:rsidRPr="009B32C3" w:rsidRDefault="00BD4ECD" w:rsidP="00141C9B">
            <w:pPr>
              <w:rPr>
                <w:color w:val="000D2D"/>
              </w:rPr>
            </w:pPr>
            <w:r w:rsidRPr="009B32C3">
              <w:rPr>
                <w:color w:val="000D2D"/>
              </w:rPr>
              <w:t>N/A</w:t>
            </w:r>
          </w:p>
        </w:tc>
        <w:tc>
          <w:tcPr>
            <w:tcW w:w="2039" w:type="dxa"/>
          </w:tcPr>
          <w:p w14:paraId="7DD86366" w14:textId="30F105ED" w:rsidR="00BD4ECD" w:rsidRPr="009B32C3" w:rsidRDefault="00BD4ECD" w:rsidP="00141C9B">
            <w:pPr>
              <w:rPr>
                <w:color w:val="000D2D"/>
              </w:rPr>
            </w:pPr>
            <w:r w:rsidRPr="009B32C3">
              <w:rPr>
                <w:color w:val="000D2D"/>
              </w:rPr>
              <w:t>N/A</w:t>
            </w:r>
          </w:p>
        </w:tc>
      </w:tr>
      <w:tr w:rsidR="009B32C3" w:rsidRPr="009B32C3" w14:paraId="64CDA615" w14:textId="77777777" w:rsidTr="00141C9B">
        <w:tc>
          <w:tcPr>
            <w:tcW w:w="3256" w:type="dxa"/>
          </w:tcPr>
          <w:p w14:paraId="14B42FC7" w14:textId="1206CD5B" w:rsidR="00BD4ECD" w:rsidRPr="009B32C3" w:rsidRDefault="00947932" w:rsidP="00141C9B">
            <w:pPr>
              <w:rPr>
                <w:color w:val="000D2D"/>
              </w:rPr>
            </w:pPr>
            <w:r>
              <w:rPr>
                <w:color w:val="000D2D"/>
              </w:rPr>
              <w:t>Jefferies</w:t>
            </w:r>
          </w:p>
        </w:tc>
        <w:tc>
          <w:tcPr>
            <w:tcW w:w="2409" w:type="dxa"/>
          </w:tcPr>
          <w:p w14:paraId="5F99A19C" w14:textId="53AD1B9C" w:rsidR="00BD4ECD" w:rsidRPr="00C41638" w:rsidRDefault="00947932" w:rsidP="00141C9B">
            <w:pPr>
              <w:rPr>
                <w:color w:val="000D2D"/>
              </w:rPr>
            </w:pPr>
            <w:r>
              <w:rPr>
                <w:color w:val="000D2D"/>
              </w:rPr>
              <w:t xml:space="preserve">  4</w:t>
            </w:r>
            <w:r w:rsidR="00BD4ECD" w:rsidRPr="00C41638">
              <w:rPr>
                <w:color w:val="000D2D"/>
              </w:rPr>
              <w:t>.</w:t>
            </w:r>
            <w:r>
              <w:rPr>
                <w:color w:val="000D2D"/>
              </w:rPr>
              <w:t>3</w:t>
            </w:r>
            <w:r w:rsidR="00C41638" w:rsidRPr="00C41638">
              <w:rPr>
                <w:color w:val="000D2D"/>
              </w:rPr>
              <w:t>5</w:t>
            </w:r>
            <w:r w:rsidR="00BD4ECD" w:rsidRPr="00C41638">
              <w:rPr>
                <w:color w:val="000D2D"/>
              </w:rPr>
              <w:t>%</w:t>
            </w:r>
          </w:p>
        </w:tc>
        <w:tc>
          <w:tcPr>
            <w:tcW w:w="2410" w:type="dxa"/>
          </w:tcPr>
          <w:p w14:paraId="23D9BFFB" w14:textId="3B8C0E34" w:rsidR="00BD4ECD" w:rsidRPr="00C41638" w:rsidRDefault="00947932" w:rsidP="00141C9B">
            <w:pPr>
              <w:rPr>
                <w:color w:val="000D2D"/>
              </w:rPr>
            </w:pPr>
            <w:r>
              <w:rPr>
                <w:color w:val="000D2D"/>
              </w:rPr>
              <w:t xml:space="preserve">  1</w:t>
            </w:r>
            <w:r w:rsidR="00BD4ECD" w:rsidRPr="00C41638">
              <w:rPr>
                <w:color w:val="000D2D"/>
              </w:rPr>
              <w:t>.</w:t>
            </w:r>
            <w:r>
              <w:rPr>
                <w:color w:val="000D2D"/>
              </w:rPr>
              <w:t>27</w:t>
            </w:r>
            <w:r w:rsidR="00BD4ECD" w:rsidRPr="00C41638">
              <w:rPr>
                <w:color w:val="000D2D"/>
              </w:rPr>
              <w:t>%</w:t>
            </w:r>
          </w:p>
        </w:tc>
        <w:tc>
          <w:tcPr>
            <w:tcW w:w="1957" w:type="dxa"/>
          </w:tcPr>
          <w:p w14:paraId="73A6BFA5" w14:textId="792DA92C" w:rsidR="00BD4ECD" w:rsidRPr="009B32C3" w:rsidRDefault="00BD4ECD" w:rsidP="00141C9B">
            <w:pPr>
              <w:rPr>
                <w:color w:val="000D2D"/>
              </w:rPr>
            </w:pPr>
            <w:r w:rsidRPr="009B32C3">
              <w:rPr>
                <w:color w:val="000D2D"/>
              </w:rPr>
              <w:t>N/A</w:t>
            </w:r>
          </w:p>
        </w:tc>
        <w:tc>
          <w:tcPr>
            <w:tcW w:w="1958" w:type="dxa"/>
          </w:tcPr>
          <w:p w14:paraId="5F13175F" w14:textId="2AD219F2" w:rsidR="00BD4ECD" w:rsidRPr="009B32C3" w:rsidRDefault="00BD4ECD" w:rsidP="00141C9B">
            <w:pPr>
              <w:rPr>
                <w:color w:val="000D2D"/>
              </w:rPr>
            </w:pPr>
            <w:r w:rsidRPr="009B32C3">
              <w:rPr>
                <w:color w:val="000D2D"/>
              </w:rPr>
              <w:t>N/A</w:t>
            </w:r>
          </w:p>
        </w:tc>
        <w:tc>
          <w:tcPr>
            <w:tcW w:w="2039" w:type="dxa"/>
          </w:tcPr>
          <w:p w14:paraId="7A749038" w14:textId="04B8981B" w:rsidR="00BD4ECD" w:rsidRPr="009B32C3" w:rsidRDefault="00BD4ECD" w:rsidP="00141C9B">
            <w:pPr>
              <w:rPr>
                <w:color w:val="000D2D"/>
              </w:rPr>
            </w:pPr>
            <w:r w:rsidRPr="009B32C3">
              <w:rPr>
                <w:color w:val="000D2D"/>
              </w:rPr>
              <w:t>N/A</w:t>
            </w:r>
          </w:p>
        </w:tc>
      </w:tr>
    </w:tbl>
    <w:p w14:paraId="406969A4" w14:textId="77777777" w:rsidR="00141C9B" w:rsidRPr="009B32C3" w:rsidRDefault="00141C9B" w:rsidP="00141C9B">
      <w:pPr>
        <w:spacing w:after="0"/>
        <w:rPr>
          <w:color w:val="000D2D"/>
          <w:sz w:val="24"/>
          <w:szCs w:val="24"/>
        </w:rPr>
      </w:pPr>
    </w:p>
    <w:p w14:paraId="61B2094D" w14:textId="29AD4C0D" w:rsidR="007D7DE4" w:rsidRPr="009B32C3" w:rsidRDefault="00141C9B" w:rsidP="00C95F40">
      <w:pPr>
        <w:spacing w:after="0"/>
        <w:rPr>
          <w:b/>
          <w:color w:val="000D2D"/>
        </w:rPr>
      </w:pPr>
      <w:r w:rsidRPr="009B32C3">
        <w:rPr>
          <w:b/>
          <w:color w:val="000D2D"/>
        </w:rPr>
        <w:t xml:space="preserve">Execution Factors – Equities – Liquidity Band 5 and 6 – ‘Liquid equities’: </w:t>
      </w:r>
    </w:p>
    <w:p w14:paraId="7BF4FC26" w14:textId="4702F15C" w:rsidR="00C95F40" w:rsidRPr="009B32C3" w:rsidRDefault="00C95F40" w:rsidP="00C95F40">
      <w:pPr>
        <w:pStyle w:val="ListParagraph"/>
        <w:numPr>
          <w:ilvl w:val="0"/>
          <w:numId w:val="17"/>
        </w:numPr>
        <w:spacing w:after="0"/>
        <w:rPr>
          <w:color w:val="000D2D"/>
        </w:rPr>
      </w:pPr>
      <w:r w:rsidRPr="009B32C3">
        <w:rPr>
          <w:color w:val="000D2D"/>
        </w:rPr>
        <w:t xml:space="preserve">Price </w:t>
      </w:r>
    </w:p>
    <w:p w14:paraId="1E7343F6" w14:textId="235D9595" w:rsidR="00C95F40" w:rsidRPr="009B32C3" w:rsidRDefault="00C95F40" w:rsidP="00C95F40">
      <w:pPr>
        <w:pStyle w:val="ListParagraph"/>
        <w:numPr>
          <w:ilvl w:val="0"/>
          <w:numId w:val="17"/>
        </w:numPr>
        <w:spacing w:after="0"/>
        <w:rPr>
          <w:color w:val="000D2D"/>
        </w:rPr>
      </w:pPr>
      <w:r w:rsidRPr="009B32C3">
        <w:rPr>
          <w:color w:val="000D2D"/>
        </w:rPr>
        <w:t>Costs</w:t>
      </w:r>
    </w:p>
    <w:p w14:paraId="56F22AB7" w14:textId="35C655E8" w:rsidR="00C95F40" w:rsidRPr="009B32C3" w:rsidRDefault="00C95F40" w:rsidP="00C95F40">
      <w:pPr>
        <w:pStyle w:val="ListParagraph"/>
        <w:numPr>
          <w:ilvl w:val="0"/>
          <w:numId w:val="17"/>
        </w:numPr>
        <w:spacing w:after="0"/>
        <w:rPr>
          <w:color w:val="000D2D"/>
        </w:rPr>
      </w:pPr>
      <w:r w:rsidRPr="009B32C3">
        <w:rPr>
          <w:color w:val="000D2D"/>
        </w:rPr>
        <w:t>Speed</w:t>
      </w:r>
    </w:p>
    <w:p w14:paraId="58404C92" w14:textId="19FE7FF5" w:rsidR="00C95F40" w:rsidRPr="009B32C3" w:rsidRDefault="00C95F40" w:rsidP="00C95F40">
      <w:pPr>
        <w:pStyle w:val="ListParagraph"/>
        <w:numPr>
          <w:ilvl w:val="0"/>
          <w:numId w:val="17"/>
        </w:numPr>
        <w:spacing w:after="0"/>
        <w:rPr>
          <w:color w:val="000D2D"/>
        </w:rPr>
      </w:pPr>
      <w:r w:rsidRPr="009B32C3">
        <w:rPr>
          <w:color w:val="000D2D"/>
        </w:rPr>
        <w:t>Size and nature of the order</w:t>
      </w:r>
    </w:p>
    <w:p w14:paraId="14DA6918" w14:textId="537FA35C" w:rsidR="00C95F40" w:rsidRPr="009B32C3" w:rsidRDefault="00C95F40" w:rsidP="00C95F40">
      <w:pPr>
        <w:pStyle w:val="ListParagraph"/>
        <w:numPr>
          <w:ilvl w:val="0"/>
          <w:numId w:val="17"/>
        </w:numPr>
        <w:spacing w:after="0"/>
        <w:rPr>
          <w:color w:val="000D2D"/>
        </w:rPr>
      </w:pPr>
      <w:r w:rsidRPr="009B32C3">
        <w:rPr>
          <w:color w:val="000D2D"/>
        </w:rPr>
        <w:t xml:space="preserve">Other transaction costs </w:t>
      </w:r>
    </w:p>
    <w:p w14:paraId="76855175" w14:textId="77777777" w:rsidR="007D7DE4" w:rsidRPr="009B32C3" w:rsidRDefault="007D7DE4" w:rsidP="007D7DE4">
      <w:pPr>
        <w:spacing w:after="0"/>
        <w:rPr>
          <w:color w:val="000D2D"/>
          <w:highlight w:val="yellow"/>
        </w:rPr>
      </w:pPr>
    </w:p>
    <w:p w14:paraId="54874B14" w14:textId="02C1E36B" w:rsidR="00141C9B" w:rsidRPr="009B32C3" w:rsidRDefault="006A16A9" w:rsidP="006A16A9">
      <w:pPr>
        <w:rPr>
          <w:color w:val="000D2D"/>
        </w:rPr>
      </w:pPr>
      <w:r w:rsidRPr="009B32C3">
        <w:rPr>
          <w:color w:val="000D2D"/>
        </w:rPr>
        <w:t xml:space="preserve">The broker’s ability to produce best results in the fields of price and costs is of most significance followed by speed, likelihood of execution and settlement, the size and nature of the order, market impact and any other implicit transaction costs. </w:t>
      </w:r>
      <w:r w:rsidR="00197681" w:rsidRPr="009B32C3">
        <w:rPr>
          <w:color w:val="000D2D"/>
        </w:rPr>
        <w:t xml:space="preserve">For the most liquid markets, prices can move quickly, </w:t>
      </w:r>
      <w:r w:rsidR="00E113FE" w:rsidRPr="009B32C3">
        <w:rPr>
          <w:color w:val="000D2D"/>
        </w:rPr>
        <w:t>thus a</w:t>
      </w:r>
      <w:r w:rsidR="00197681" w:rsidRPr="009B32C3">
        <w:rPr>
          <w:color w:val="000D2D"/>
        </w:rPr>
        <w:t xml:space="preserve"> demonstrably rapid and effective venue is called for.</w:t>
      </w:r>
    </w:p>
    <w:p w14:paraId="061BBD92" w14:textId="61A5C5DF" w:rsidR="007D7DE4" w:rsidRDefault="007D7DE4">
      <w:pPr>
        <w:rPr>
          <w:color w:val="000D2D"/>
          <w:sz w:val="24"/>
          <w:szCs w:val="24"/>
        </w:rPr>
      </w:pPr>
    </w:p>
    <w:p w14:paraId="2FA4E4D6" w14:textId="77777777" w:rsidR="00425631" w:rsidRPr="009B32C3" w:rsidRDefault="00425631">
      <w:pPr>
        <w:rPr>
          <w:color w:val="000D2D"/>
          <w:sz w:val="24"/>
          <w:szCs w:val="24"/>
        </w:rPr>
      </w:pPr>
    </w:p>
    <w:p w14:paraId="3DBC75F1" w14:textId="77777777" w:rsidR="00BD4ECD" w:rsidRPr="009B32C3" w:rsidRDefault="00BD4ECD">
      <w:pPr>
        <w:rPr>
          <w:color w:val="000D2D"/>
          <w:sz w:val="24"/>
          <w:szCs w:val="24"/>
        </w:rPr>
      </w:pPr>
    </w:p>
    <w:p w14:paraId="0205741F" w14:textId="77777777" w:rsidR="00BD4ECD" w:rsidRPr="009B32C3" w:rsidRDefault="00BD4ECD">
      <w:pPr>
        <w:rPr>
          <w:color w:val="000D2D"/>
          <w:sz w:val="24"/>
          <w:szCs w:val="24"/>
        </w:rPr>
      </w:pPr>
    </w:p>
    <w:tbl>
      <w:tblPr>
        <w:tblStyle w:val="TableGrid6"/>
        <w:tblW w:w="14029" w:type="dxa"/>
        <w:tblLook w:val="04A0" w:firstRow="1" w:lastRow="0" w:firstColumn="1" w:lastColumn="0" w:noHBand="0" w:noVBand="1"/>
      </w:tblPr>
      <w:tblGrid>
        <w:gridCol w:w="3256"/>
        <w:gridCol w:w="2409"/>
        <w:gridCol w:w="2410"/>
        <w:gridCol w:w="1957"/>
        <w:gridCol w:w="1958"/>
        <w:gridCol w:w="2039"/>
      </w:tblGrid>
      <w:tr w:rsidR="008D7590" w:rsidRPr="008D7590" w14:paraId="2E4562E0" w14:textId="77777777" w:rsidTr="008D7590">
        <w:tc>
          <w:tcPr>
            <w:tcW w:w="3256" w:type="dxa"/>
            <w:shd w:val="clear" w:color="auto" w:fill="000D2D"/>
          </w:tcPr>
          <w:p w14:paraId="7F1D5B6D" w14:textId="77777777" w:rsidR="00141C9B" w:rsidRPr="008D7590" w:rsidRDefault="00141C9B" w:rsidP="00141C9B">
            <w:pPr>
              <w:tabs>
                <w:tab w:val="left" w:pos="419"/>
                <w:tab w:val="left" w:pos="570"/>
              </w:tabs>
              <w:spacing w:before="60" w:after="60"/>
              <w:rPr>
                <w:b/>
                <w:color w:val="ABA9AA"/>
              </w:rPr>
            </w:pPr>
            <w:r w:rsidRPr="008D7590">
              <w:rPr>
                <w:b/>
                <w:color w:val="ABA9AA"/>
              </w:rPr>
              <w:lastRenderedPageBreak/>
              <w:t>Class of Instrument:</w:t>
            </w:r>
            <w:r w:rsidRPr="008D7590">
              <w:rPr>
                <w:b/>
                <w:color w:val="ABA9AA"/>
              </w:rPr>
              <w:tab/>
            </w:r>
          </w:p>
        </w:tc>
        <w:tc>
          <w:tcPr>
            <w:tcW w:w="10773" w:type="dxa"/>
            <w:gridSpan w:val="5"/>
            <w:shd w:val="clear" w:color="auto" w:fill="000D2D"/>
          </w:tcPr>
          <w:p w14:paraId="2449621B" w14:textId="77777777" w:rsidR="00141C9B" w:rsidRPr="008D7590" w:rsidRDefault="00141C9B" w:rsidP="00141C9B">
            <w:pPr>
              <w:spacing w:before="60" w:after="60"/>
              <w:rPr>
                <w:b/>
                <w:color w:val="ABA9AA"/>
              </w:rPr>
            </w:pPr>
            <w:r w:rsidRPr="008D7590">
              <w:rPr>
                <w:b/>
                <w:color w:val="ABA9AA"/>
              </w:rPr>
              <w:t>(a) Equities - Shares &amp; Depositary Receipts   - (ii) Tick size liquidity bands 3 and 4 (from 80 to 1999 trades per day)</w:t>
            </w:r>
          </w:p>
        </w:tc>
      </w:tr>
      <w:tr w:rsidR="009B32C3" w:rsidRPr="009B32C3" w14:paraId="0CE0AD9D" w14:textId="77777777" w:rsidTr="00141C9B">
        <w:tc>
          <w:tcPr>
            <w:tcW w:w="5665" w:type="dxa"/>
            <w:gridSpan w:val="2"/>
          </w:tcPr>
          <w:p w14:paraId="36EF06A3" w14:textId="77777777" w:rsidR="00141C9B" w:rsidRPr="009B32C3" w:rsidRDefault="00141C9B" w:rsidP="00141C9B">
            <w:pPr>
              <w:spacing w:before="60" w:after="60"/>
              <w:rPr>
                <w:color w:val="000D2D"/>
              </w:rPr>
            </w:pPr>
            <w:r w:rsidRPr="009B32C3">
              <w:rPr>
                <w:b/>
                <w:color w:val="000D2D"/>
              </w:rPr>
              <w:t>Notification if &lt;1 average trade per business day in the previous year</w:t>
            </w:r>
          </w:p>
        </w:tc>
        <w:tc>
          <w:tcPr>
            <w:tcW w:w="2410" w:type="dxa"/>
          </w:tcPr>
          <w:p w14:paraId="0ADE7E33" w14:textId="438365D3" w:rsidR="00141C9B" w:rsidRPr="009B32C3" w:rsidRDefault="005E1879" w:rsidP="00141C9B">
            <w:pPr>
              <w:spacing w:before="60" w:after="60"/>
              <w:rPr>
                <w:b/>
                <w:color w:val="000D2D"/>
              </w:rPr>
            </w:pPr>
            <w:r w:rsidRPr="009B32C3">
              <w:rPr>
                <w:b/>
                <w:color w:val="000D2D"/>
              </w:rPr>
              <w:t>N</w:t>
            </w:r>
          </w:p>
        </w:tc>
        <w:tc>
          <w:tcPr>
            <w:tcW w:w="3915" w:type="dxa"/>
            <w:gridSpan w:val="2"/>
          </w:tcPr>
          <w:p w14:paraId="149C1BFC" w14:textId="77777777" w:rsidR="00141C9B" w:rsidRPr="009B32C3" w:rsidRDefault="00141C9B" w:rsidP="00141C9B">
            <w:pPr>
              <w:spacing w:before="60" w:after="60"/>
              <w:rPr>
                <w:color w:val="000D2D"/>
              </w:rPr>
            </w:pPr>
            <w:r w:rsidRPr="009B32C3">
              <w:rPr>
                <w:b/>
                <w:color w:val="000D2D"/>
              </w:rPr>
              <w:t>Class Percentage of total equity volumes:</w:t>
            </w:r>
          </w:p>
        </w:tc>
        <w:tc>
          <w:tcPr>
            <w:tcW w:w="2039" w:type="dxa"/>
          </w:tcPr>
          <w:p w14:paraId="43EA4187" w14:textId="5914F930" w:rsidR="00141C9B" w:rsidRPr="00E570AB" w:rsidRDefault="00947932" w:rsidP="00141C9B">
            <w:pPr>
              <w:spacing w:before="60" w:after="60"/>
              <w:rPr>
                <w:color w:val="000D2D"/>
              </w:rPr>
            </w:pPr>
            <w:r>
              <w:rPr>
                <w:b/>
                <w:color w:val="000D2D"/>
              </w:rPr>
              <w:t>20</w:t>
            </w:r>
            <w:r w:rsidR="005E1879" w:rsidRPr="00E570AB">
              <w:rPr>
                <w:b/>
                <w:color w:val="000D2D"/>
              </w:rPr>
              <w:t>.</w:t>
            </w:r>
            <w:r>
              <w:rPr>
                <w:b/>
                <w:color w:val="000D2D"/>
              </w:rPr>
              <w:t>14</w:t>
            </w:r>
            <w:r w:rsidR="005E1879" w:rsidRPr="00E570AB">
              <w:rPr>
                <w:b/>
                <w:color w:val="000D2D"/>
              </w:rPr>
              <w:t>%</w:t>
            </w:r>
          </w:p>
        </w:tc>
      </w:tr>
      <w:tr w:rsidR="009B32C3" w:rsidRPr="009B32C3" w14:paraId="2BC8E246" w14:textId="77777777" w:rsidTr="00141C9B">
        <w:tc>
          <w:tcPr>
            <w:tcW w:w="3256" w:type="dxa"/>
          </w:tcPr>
          <w:p w14:paraId="22712426" w14:textId="77777777" w:rsidR="00141C9B" w:rsidRPr="009B32C3" w:rsidRDefault="00141C9B" w:rsidP="00141C9B">
            <w:pPr>
              <w:spacing w:before="60" w:after="60"/>
              <w:rPr>
                <w:b/>
                <w:color w:val="000D2D"/>
              </w:rPr>
            </w:pPr>
            <w:r w:rsidRPr="009B32C3">
              <w:rPr>
                <w:b/>
                <w:color w:val="000D2D"/>
              </w:rPr>
              <w:t>Top five execution venues ranked in terms of trading volumes (descending order)</w:t>
            </w:r>
          </w:p>
        </w:tc>
        <w:tc>
          <w:tcPr>
            <w:tcW w:w="2409" w:type="dxa"/>
          </w:tcPr>
          <w:p w14:paraId="69847D8D" w14:textId="77777777" w:rsidR="00141C9B" w:rsidRPr="009B32C3" w:rsidRDefault="00141C9B" w:rsidP="00141C9B">
            <w:pPr>
              <w:spacing w:before="60" w:after="60"/>
              <w:rPr>
                <w:b/>
                <w:color w:val="000D2D"/>
              </w:rPr>
            </w:pPr>
            <w:r w:rsidRPr="009B32C3">
              <w:rPr>
                <w:b/>
                <w:color w:val="000D2D"/>
              </w:rPr>
              <w:t>Proportion of volume traded as a percentage of total in that class</w:t>
            </w:r>
          </w:p>
        </w:tc>
        <w:tc>
          <w:tcPr>
            <w:tcW w:w="2410" w:type="dxa"/>
          </w:tcPr>
          <w:p w14:paraId="1AD16976" w14:textId="77777777" w:rsidR="00141C9B" w:rsidRPr="009B32C3" w:rsidRDefault="00141C9B" w:rsidP="00141C9B">
            <w:pPr>
              <w:spacing w:before="60" w:after="60"/>
              <w:rPr>
                <w:b/>
                <w:color w:val="000D2D"/>
              </w:rPr>
            </w:pPr>
            <w:r w:rsidRPr="009B32C3">
              <w:rPr>
                <w:b/>
                <w:color w:val="000D2D"/>
              </w:rPr>
              <w:t>Proportion of orders executed as percentage of total in that class</w:t>
            </w:r>
          </w:p>
        </w:tc>
        <w:tc>
          <w:tcPr>
            <w:tcW w:w="1957" w:type="dxa"/>
          </w:tcPr>
          <w:p w14:paraId="6EC7822C" w14:textId="77777777" w:rsidR="00141C9B" w:rsidRPr="009B32C3" w:rsidRDefault="00141C9B" w:rsidP="00141C9B">
            <w:pPr>
              <w:spacing w:before="60" w:after="60"/>
              <w:rPr>
                <w:b/>
                <w:color w:val="000D2D"/>
              </w:rPr>
            </w:pPr>
            <w:r w:rsidRPr="009B32C3">
              <w:rPr>
                <w:b/>
                <w:color w:val="000D2D"/>
              </w:rPr>
              <w:t>Percentage of passive orders</w:t>
            </w:r>
          </w:p>
        </w:tc>
        <w:tc>
          <w:tcPr>
            <w:tcW w:w="1958" w:type="dxa"/>
          </w:tcPr>
          <w:p w14:paraId="76D9B590" w14:textId="77777777" w:rsidR="00141C9B" w:rsidRPr="009B32C3" w:rsidRDefault="00141C9B" w:rsidP="00141C9B">
            <w:pPr>
              <w:spacing w:before="60" w:after="60"/>
              <w:rPr>
                <w:b/>
                <w:color w:val="000D2D"/>
              </w:rPr>
            </w:pPr>
            <w:r w:rsidRPr="009B32C3">
              <w:rPr>
                <w:b/>
                <w:color w:val="000D2D"/>
              </w:rPr>
              <w:t>Percentage of aggressive orders</w:t>
            </w:r>
          </w:p>
        </w:tc>
        <w:tc>
          <w:tcPr>
            <w:tcW w:w="2039" w:type="dxa"/>
          </w:tcPr>
          <w:p w14:paraId="19173E97" w14:textId="77777777" w:rsidR="00141C9B" w:rsidRPr="009B32C3" w:rsidRDefault="00141C9B" w:rsidP="00141C9B">
            <w:pPr>
              <w:spacing w:before="60" w:after="60"/>
              <w:rPr>
                <w:b/>
                <w:color w:val="000D2D"/>
              </w:rPr>
            </w:pPr>
            <w:r w:rsidRPr="009B32C3">
              <w:rPr>
                <w:b/>
                <w:color w:val="000D2D"/>
              </w:rPr>
              <w:t>Percentage of directed orders</w:t>
            </w:r>
          </w:p>
        </w:tc>
      </w:tr>
      <w:tr w:rsidR="009B32C3" w:rsidRPr="009B32C3" w14:paraId="48C7EB3A" w14:textId="77777777" w:rsidTr="00141C9B">
        <w:tc>
          <w:tcPr>
            <w:tcW w:w="3256" w:type="dxa"/>
          </w:tcPr>
          <w:p w14:paraId="549D72D7" w14:textId="6855A8D0" w:rsidR="005E1879" w:rsidRPr="009B32C3" w:rsidRDefault="005E1879" w:rsidP="005E1879">
            <w:pPr>
              <w:rPr>
                <w:color w:val="000D2D"/>
              </w:rPr>
            </w:pPr>
            <w:r w:rsidRPr="009B32C3">
              <w:rPr>
                <w:color w:val="000D2D"/>
              </w:rPr>
              <w:t>Credo Group</w:t>
            </w:r>
          </w:p>
        </w:tc>
        <w:tc>
          <w:tcPr>
            <w:tcW w:w="2409" w:type="dxa"/>
          </w:tcPr>
          <w:p w14:paraId="374B9306" w14:textId="0907FD16" w:rsidR="005E1879" w:rsidRPr="00E570AB" w:rsidRDefault="00947932" w:rsidP="00141C9B">
            <w:pPr>
              <w:rPr>
                <w:color w:val="000D2D"/>
              </w:rPr>
            </w:pPr>
            <w:r>
              <w:rPr>
                <w:color w:val="000D2D"/>
              </w:rPr>
              <w:t>69</w:t>
            </w:r>
            <w:r w:rsidR="005E1879" w:rsidRPr="00E570AB">
              <w:rPr>
                <w:color w:val="000D2D"/>
              </w:rPr>
              <w:t>.</w:t>
            </w:r>
            <w:r>
              <w:rPr>
                <w:color w:val="000D2D"/>
              </w:rPr>
              <w:t>26</w:t>
            </w:r>
            <w:r w:rsidR="005E1879" w:rsidRPr="00E570AB">
              <w:rPr>
                <w:color w:val="000D2D"/>
              </w:rPr>
              <w:t>%</w:t>
            </w:r>
          </w:p>
        </w:tc>
        <w:tc>
          <w:tcPr>
            <w:tcW w:w="2410" w:type="dxa"/>
          </w:tcPr>
          <w:p w14:paraId="69541CC0" w14:textId="09E6FA8F" w:rsidR="005E1879" w:rsidRPr="00E570AB" w:rsidRDefault="00947932" w:rsidP="00141C9B">
            <w:pPr>
              <w:rPr>
                <w:color w:val="000D2D"/>
              </w:rPr>
            </w:pPr>
            <w:r>
              <w:rPr>
                <w:color w:val="000D2D"/>
              </w:rPr>
              <w:t>8</w:t>
            </w:r>
            <w:r w:rsidR="005E1879" w:rsidRPr="00E570AB">
              <w:rPr>
                <w:color w:val="000D2D"/>
              </w:rPr>
              <w:t>7.</w:t>
            </w:r>
            <w:r>
              <w:rPr>
                <w:color w:val="000D2D"/>
              </w:rPr>
              <w:t>50</w:t>
            </w:r>
            <w:r w:rsidR="005E1879" w:rsidRPr="00E570AB">
              <w:rPr>
                <w:color w:val="000D2D"/>
              </w:rPr>
              <w:t>%</w:t>
            </w:r>
          </w:p>
        </w:tc>
        <w:tc>
          <w:tcPr>
            <w:tcW w:w="1957" w:type="dxa"/>
          </w:tcPr>
          <w:p w14:paraId="5ADFEE34" w14:textId="01459128" w:rsidR="005E1879" w:rsidRPr="009B32C3" w:rsidRDefault="005E1879" w:rsidP="00141C9B">
            <w:pPr>
              <w:rPr>
                <w:color w:val="000D2D"/>
              </w:rPr>
            </w:pPr>
            <w:r w:rsidRPr="009B32C3">
              <w:rPr>
                <w:color w:val="000D2D"/>
              </w:rPr>
              <w:t>N/A</w:t>
            </w:r>
          </w:p>
        </w:tc>
        <w:tc>
          <w:tcPr>
            <w:tcW w:w="1958" w:type="dxa"/>
          </w:tcPr>
          <w:p w14:paraId="5BC235C7" w14:textId="411AEAF8" w:rsidR="005E1879" w:rsidRPr="009B32C3" w:rsidRDefault="005E1879" w:rsidP="00141C9B">
            <w:pPr>
              <w:rPr>
                <w:color w:val="000D2D"/>
              </w:rPr>
            </w:pPr>
            <w:r w:rsidRPr="009B32C3">
              <w:rPr>
                <w:color w:val="000D2D"/>
              </w:rPr>
              <w:t>N/A</w:t>
            </w:r>
          </w:p>
        </w:tc>
        <w:tc>
          <w:tcPr>
            <w:tcW w:w="2039" w:type="dxa"/>
          </w:tcPr>
          <w:p w14:paraId="4495FAEB" w14:textId="7D0D43D8" w:rsidR="005E1879" w:rsidRPr="009B32C3" w:rsidRDefault="005E1879" w:rsidP="00141C9B">
            <w:pPr>
              <w:rPr>
                <w:color w:val="000D2D"/>
              </w:rPr>
            </w:pPr>
            <w:r w:rsidRPr="009B32C3">
              <w:rPr>
                <w:color w:val="000D2D"/>
              </w:rPr>
              <w:t>N/A</w:t>
            </w:r>
          </w:p>
        </w:tc>
      </w:tr>
      <w:tr w:rsidR="009B32C3" w:rsidRPr="009B32C3" w14:paraId="2200C19C" w14:textId="77777777" w:rsidTr="00141C9B">
        <w:tc>
          <w:tcPr>
            <w:tcW w:w="3256" w:type="dxa"/>
          </w:tcPr>
          <w:p w14:paraId="3897F274" w14:textId="044ECC84" w:rsidR="005E1879" w:rsidRPr="009B32C3" w:rsidRDefault="005E1879" w:rsidP="00141C9B">
            <w:pPr>
              <w:rPr>
                <w:color w:val="000D2D"/>
              </w:rPr>
            </w:pPr>
            <w:r w:rsidRPr="009B32C3">
              <w:rPr>
                <w:color w:val="000D2D"/>
              </w:rPr>
              <w:t>KBL Luxembourg</w:t>
            </w:r>
          </w:p>
        </w:tc>
        <w:tc>
          <w:tcPr>
            <w:tcW w:w="2409" w:type="dxa"/>
          </w:tcPr>
          <w:p w14:paraId="383D1293" w14:textId="71932539" w:rsidR="005E1879" w:rsidRPr="00E570AB" w:rsidRDefault="00947932" w:rsidP="00141C9B">
            <w:pPr>
              <w:rPr>
                <w:color w:val="000D2D"/>
              </w:rPr>
            </w:pPr>
            <w:r>
              <w:rPr>
                <w:color w:val="000D2D"/>
              </w:rPr>
              <w:t>16</w:t>
            </w:r>
            <w:r w:rsidR="005E1879" w:rsidRPr="00E570AB">
              <w:rPr>
                <w:color w:val="000D2D"/>
              </w:rPr>
              <w:t>.</w:t>
            </w:r>
            <w:r w:rsidR="00E570AB" w:rsidRPr="00E570AB">
              <w:rPr>
                <w:color w:val="000D2D"/>
              </w:rPr>
              <w:t>2</w:t>
            </w:r>
            <w:r>
              <w:rPr>
                <w:color w:val="000D2D"/>
              </w:rPr>
              <w:t>1</w:t>
            </w:r>
            <w:r w:rsidR="005E1879" w:rsidRPr="00E570AB">
              <w:rPr>
                <w:color w:val="000D2D"/>
              </w:rPr>
              <w:t>%</w:t>
            </w:r>
          </w:p>
        </w:tc>
        <w:tc>
          <w:tcPr>
            <w:tcW w:w="2410" w:type="dxa"/>
          </w:tcPr>
          <w:p w14:paraId="19FE615A" w14:textId="7F6DB244" w:rsidR="005E1879" w:rsidRPr="00E570AB" w:rsidRDefault="00947932" w:rsidP="00141C9B">
            <w:pPr>
              <w:rPr>
                <w:color w:val="000D2D"/>
              </w:rPr>
            </w:pPr>
            <w:r>
              <w:rPr>
                <w:color w:val="000D2D"/>
              </w:rPr>
              <w:t xml:space="preserve">  3</w:t>
            </w:r>
            <w:r w:rsidR="005E1879" w:rsidRPr="00E570AB">
              <w:rPr>
                <w:color w:val="000D2D"/>
              </w:rPr>
              <w:t>.</w:t>
            </w:r>
            <w:r w:rsidR="00E570AB" w:rsidRPr="00E570AB">
              <w:rPr>
                <w:color w:val="000D2D"/>
              </w:rPr>
              <w:t>6</w:t>
            </w:r>
            <w:r>
              <w:rPr>
                <w:color w:val="000D2D"/>
              </w:rPr>
              <w:t>8</w:t>
            </w:r>
            <w:r w:rsidR="005E1879" w:rsidRPr="00E570AB">
              <w:rPr>
                <w:color w:val="000D2D"/>
              </w:rPr>
              <w:t>%</w:t>
            </w:r>
          </w:p>
        </w:tc>
        <w:tc>
          <w:tcPr>
            <w:tcW w:w="1957" w:type="dxa"/>
          </w:tcPr>
          <w:p w14:paraId="4EE98C44" w14:textId="2D67F9F4" w:rsidR="005E1879" w:rsidRPr="009B32C3" w:rsidRDefault="005E1879" w:rsidP="00141C9B">
            <w:pPr>
              <w:rPr>
                <w:color w:val="000D2D"/>
              </w:rPr>
            </w:pPr>
            <w:r w:rsidRPr="009B32C3">
              <w:rPr>
                <w:color w:val="000D2D"/>
              </w:rPr>
              <w:t>N/A</w:t>
            </w:r>
          </w:p>
        </w:tc>
        <w:tc>
          <w:tcPr>
            <w:tcW w:w="1958" w:type="dxa"/>
          </w:tcPr>
          <w:p w14:paraId="70B6ECFC" w14:textId="01A2763C" w:rsidR="005E1879" w:rsidRPr="009B32C3" w:rsidRDefault="005E1879" w:rsidP="00141C9B">
            <w:pPr>
              <w:rPr>
                <w:color w:val="000D2D"/>
              </w:rPr>
            </w:pPr>
            <w:r w:rsidRPr="009B32C3">
              <w:rPr>
                <w:color w:val="000D2D"/>
              </w:rPr>
              <w:t>N/A</w:t>
            </w:r>
          </w:p>
        </w:tc>
        <w:tc>
          <w:tcPr>
            <w:tcW w:w="2039" w:type="dxa"/>
          </w:tcPr>
          <w:p w14:paraId="34AE690C" w14:textId="6B0153A9" w:rsidR="005E1879" w:rsidRPr="009B32C3" w:rsidRDefault="005E1879" w:rsidP="00141C9B">
            <w:pPr>
              <w:rPr>
                <w:color w:val="000D2D"/>
              </w:rPr>
            </w:pPr>
            <w:r w:rsidRPr="009B32C3">
              <w:rPr>
                <w:color w:val="000D2D"/>
              </w:rPr>
              <w:t>N/A</w:t>
            </w:r>
          </w:p>
        </w:tc>
      </w:tr>
      <w:tr w:rsidR="009B32C3" w:rsidRPr="009B32C3" w14:paraId="1F5F1F6F" w14:textId="77777777" w:rsidTr="00141C9B">
        <w:tc>
          <w:tcPr>
            <w:tcW w:w="3256" w:type="dxa"/>
          </w:tcPr>
          <w:p w14:paraId="121045C2" w14:textId="4221B10D" w:rsidR="005E1879" w:rsidRPr="009B32C3" w:rsidRDefault="00947932" w:rsidP="00141C9B">
            <w:pPr>
              <w:rPr>
                <w:color w:val="000D2D"/>
              </w:rPr>
            </w:pPr>
            <w:r w:rsidRPr="009B32C3">
              <w:rPr>
                <w:color w:val="000D2D"/>
              </w:rPr>
              <w:t>Bank of Julius Baer Group</w:t>
            </w:r>
          </w:p>
        </w:tc>
        <w:tc>
          <w:tcPr>
            <w:tcW w:w="2409" w:type="dxa"/>
          </w:tcPr>
          <w:p w14:paraId="1550CCEA" w14:textId="37091504" w:rsidR="005E1879" w:rsidRPr="00E570AB" w:rsidRDefault="00947932" w:rsidP="00141C9B">
            <w:pPr>
              <w:rPr>
                <w:color w:val="000D2D"/>
              </w:rPr>
            </w:pPr>
            <w:r>
              <w:rPr>
                <w:color w:val="000D2D"/>
              </w:rPr>
              <w:t xml:space="preserve">  8</w:t>
            </w:r>
            <w:r w:rsidR="005E1879" w:rsidRPr="00E570AB">
              <w:rPr>
                <w:color w:val="000D2D"/>
              </w:rPr>
              <w:t>.</w:t>
            </w:r>
            <w:r>
              <w:rPr>
                <w:color w:val="000D2D"/>
              </w:rPr>
              <w:t>72</w:t>
            </w:r>
            <w:r w:rsidR="005E1879" w:rsidRPr="00E570AB">
              <w:rPr>
                <w:color w:val="000D2D"/>
              </w:rPr>
              <w:t>%</w:t>
            </w:r>
          </w:p>
        </w:tc>
        <w:tc>
          <w:tcPr>
            <w:tcW w:w="2410" w:type="dxa"/>
          </w:tcPr>
          <w:p w14:paraId="57D1F1A4" w14:textId="1D008FBF" w:rsidR="005E1879" w:rsidRPr="00E570AB" w:rsidRDefault="00947932" w:rsidP="00141C9B">
            <w:pPr>
              <w:rPr>
                <w:color w:val="000D2D"/>
              </w:rPr>
            </w:pPr>
            <w:r>
              <w:rPr>
                <w:color w:val="000D2D"/>
              </w:rPr>
              <w:t xml:space="preserve">  5</w:t>
            </w:r>
            <w:r w:rsidR="005E1879" w:rsidRPr="00E570AB">
              <w:rPr>
                <w:color w:val="000D2D"/>
              </w:rPr>
              <w:t>.</w:t>
            </w:r>
            <w:r>
              <w:rPr>
                <w:color w:val="000D2D"/>
              </w:rPr>
              <w:t>15</w:t>
            </w:r>
            <w:r w:rsidR="005E1879" w:rsidRPr="00E570AB">
              <w:rPr>
                <w:color w:val="000D2D"/>
              </w:rPr>
              <w:t>%</w:t>
            </w:r>
          </w:p>
        </w:tc>
        <w:tc>
          <w:tcPr>
            <w:tcW w:w="1957" w:type="dxa"/>
          </w:tcPr>
          <w:p w14:paraId="2C30091B" w14:textId="11C4A793" w:rsidR="005E1879" w:rsidRPr="009B32C3" w:rsidRDefault="005E1879" w:rsidP="00141C9B">
            <w:pPr>
              <w:rPr>
                <w:color w:val="000D2D"/>
              </w:rPr>
            </w:pPr>
            <w:r w:rsidRPr="009B32C3">
              <w:rPr>
                <w:color w:val="000D2D"/>
              </w:rPr>
              <w:t>N/A</w:t>
            </w:r>
          </w:p>
        </w:tc>
        <w:tc>
          <w:tcPr>
            <w:tcW w:w="1958" w:type="dxa"/>
          </w:tcPr>
          <w:p w14:paraId="49DA1332" w14:textId="5DD1AF9A" w:rsidR="005E1879" w:rsidRPr="009B32C3" w:rsidRDefault="005E1879" w:rsidP="00141C9B">
            <w:pPr>
              <w:rPr>
                <w:color w:val="000D2D"/>
              </w:rPr>
            </w:pPr>
            <w:r w:rsidRPr="009B32C3">
              <w:rPr>
                <w:color w:val="000D2D"/>
              </w:rPr>
              <w:t>N/A</w:t>
            </w:r>
          </w:p>
        </w:tc>
        <w:tc>
          <w:tcPr>
            <w:tcW w:w="2039" w:type="dxa"/>
          </w:tcPr>
          <w:p w14:paraId="4E1F3C74" w14:textId="57B6B41C" w:rsidR="005E1879" w:rsidRPr="009B32C3" w:rsidRDefault="005E1879" w:rsidP="00141C9B">
            <w:pPr>
              <w:rPr>
                <w:color w:val="000D2D"/>
              </w:rPr>
            </w:pPr>
            <w:r w:rsidRPr="009B32C3">
              <w:rPr>
                <w:color w:val="000D2D"/>
              </w:rPr>
              <w:t>N/A</w:t>
            </w:r>
          </w:p>
        </w:tc>
      </w:tr>
      <w:tr w:rsidR="009B32C3" w:rsidRPr="009B32C3" w14:paraId="36DCB6EE" w14:textId="77777777" w:rsidTr="00141C9B">
        <w:tc>
          <w:tcPr>
            <w:tcW w:w="3256" w:type="dxa"/>
          </w:tcPr>
          <w:p w14:paraId="1F45B161" w14:textId="294E766B" w:rsidR="005E1879" w:rsidRPr="009B32C3" w:rsidRDefault="00947932" w:rsidP="00141C9B">
            <w:pPr>
              <w:rPr>
                <w:color w:val="000D2D"/>
              </w:rPr>
            </w:pPr>
            <w:r w:rsidRPr="009B32C3">
              <w:rPr>
                <w:color w:val="000D2D"/>
              </w:rPr>
              <w:t xml:space="preserve">Jefferies </w:t>
            </w:r>
          </w:p>
        </w:tc>
        <w:tc>
          <w:tcPr>
            <w:tcW w:w="2409" w:type="dxa"/>
          </w:tcPr>
          <w:p w14:paraId="4FB297BA" w14:textId="03E31098" w:rsidR="005E1879" w:rsidRPr="00E570AB" w:rsidRDefault="00947932" w:rsidP="00141C9B">
            <w:pPr>
              <w:rPr>
                <w:color w:val="000D2D"/>
              </w:rPr>
            </w:pPr>
            <w:r>
              <w:rPr>
                <w:color w:val="000D2D"/>
              </w:rPr>
              <w:t xml:space="preserve">  5</w:t>
            </w:r>
            <w:r w:rsidR="005E1879" w:rsidRPr="00E570AB">
              <w:rPr>
                <w:color w:val="000D2D"/>
              </w:rPr>
              <w:t>.</w:t>
            </w:r>
            <w:r>
              <w:rPr>
                <w:color w:val="000D2D"/>
              </w:rPr>
              <w:t>15</w:t>
            </w:r>
            <w:r w:rsidR="005E1879" w:rsidRPr="00E570AB">
              <w:rPr>
                <w:color w:val="000D2D"/>
              </w:rPr>
              <w:t>%</w:t>
            </w:r>
          </w:p>
        </w:tc>
        <w:tc>
          <w:tcPr>
            <w:tcW w:w="2410" w:type="dxa"/>
          </w:tcPr>
          <w:p w14:paraId="11738AF9" w14:textId="3BA72540" w:rsidR="005E1879" w:rsidRPr="00E570AB" w:rsidRDefault="00947932" w:rsidP="00141C9B">
            <w:pPr>
              <w:rPr>
                <w:color w:val="000D2D"/>
              </w:rPr>
            </w:pPr>
            <w:r>
              <w:rPr>
                <w:color w:val="000D2D"/>
              </w:rPr>
              <w:t xml:space="preserve">  2</w:t>
            </w:r>
            <w:r w:rsidR="005E1879" w:rsidRPr="00E570AB">
              <w:rPr>
                <w:color w:val="000D2D"/>
              </w:rPr>
              <w:t>.</w:t>
            </w:r>
            <w:r>
              <w:rPr>
                <w:color w:val="000D2D"/>
              </w:rPr>
              <w:t>94</w:t>
            </w:r>
            <w:r w:rsidR="005E1879" w:rsidRPr="00E570AB">
              <w:rPr>
                <w:color w:val="000D2D"/>
              </w:rPr>
              <w:t>%</w:t>
            </w:r>
          </w:p>
        </w:tc>
        <w:tc>
          <w:tcPr>
            <w:tcW w:w="1957" w:type="dxa"/>
          </w:tcPr>
          <w:p w14:paraId="18A7221D" w14:textId="06CB0457" w:rsidR="005E1879" w:rsidRPr="009B32C3" w:rsidRDefault="005E1879" w:rsidP="00141C9B">
            <w:pPr>
              <w:rPr>
                <w:color w:val="000D2D"/>
              </w:rPr>
            </w:pPr>
            <w:r w:rsidRPr="009B32C3">
              <w:rPr>
                <w:color w:val="000D2D"/>
              </w:rPr>
              <w:t>N/A</w:t>
            </w:r>
          </w:p>
        </w:tc>
        <w:tc>
          <w:tcPr>
            <w:tcW w:w="1958" w:type="dxa"/>
          </w:tcPr>
          <w:p w14:paraId="5ED47A17" w14:textId="7ACE8D68" w:rsidR="005E1879" w:rsidRPr="009B32C3" w:rsidRDefault="005E1879" w:rsidP="00141C9B">
            <w:pPr>
              <w:rPr>
                <w:color w:val="000D2D"/>
              </w:rPr>
            </w:pPr>
            <w:r w:rsidRPr="009B32C3">
              <w:rPr>
                <w:color w:val="000D2D"/>
              </w:rPr>
              <w:t>N/A</w:t>
            </w:r>
          </w:p>
        </w:tc>
        <w:tc>
          <w:tcPr>
            <w:tcW w:w="2039" w:type="dxa"/>
          </w:tcPr>
          <w:p w14:paraId="185CB01B" w14:textId="4FD30D0D" w:rsidR="005E1879" w:rsidRPr="009B32C3" w:rsidRDefault="005E1879" w:rsidP="00141C9B">
            <w:pPr>
              <w:rPr>
                <w:color w:val="000D2D"/>
              </w:rPr>
            </w:pPr>
            <w:r w:rsidRPr="009B32C3">
              <w:rPr>
                <w:color w:val="000D2D"/>
              </w:rPr>
              <w:t>N/A</w:t>
            </w:r>
          </w:p>
        </w:tc>
      </w:tr>
      <w:tr w:rsidR="009B32C3" w:rsidRPr="009B32C3" w14:paraId="38799BF5" w14:textId="77777777" w:rsidTr="00141C9B">
        <w:tc>
          <w:tcPr>
            <w:tcW w:w="3256" w:type="dxa"/>
          </w:tcPr>
          <w:p w14:paraId="4C628800" w14:textId="39BD9104" w:rsidR="005E1879" w:rsidRPr="009B32C3" w:rsidRDefault="00947932" w:rsidP="00141C9B">
            <w:pPr>
              <w:rPr>
                <w:color w:val="000D2D"/>
              </w:rPr>
            </w:pPr>
            <w:r>
              <w:rPr>
                <w:color w:val="000D2D"/>
              </w:rPr>
              <w:t>Friends Provident International</w:t>
            </w:r>
          </w:p>
        </w:tc>
        <w:tc>
          <w:tcPr>
            <w:tcW w:w="2409" w:type="dxa"/>
          </w:tcPr>
          <w:p w14:paraId="7B084309" w14:textId="5B8EDCB7" w:rsidR="005E1879" w:rsidRPr="00E570AB" w:rsidRDefault="00947932" w:rsidP="00141C9B">
            <w:pPr>
              <w:rPr>
                <w:color w:val="000D2D"/>
              </w:rPr>
            </w:pPr>
            <w:r>
              <w:rPr>
                <w:color w:val="000D2D"/>
              </w:rPr>
              <w:t xml:space="preserve">  0</w:t>
            </w:r>
            <w:r w:rsidR="005E1879" w:rsidRPr="00E570AB">
              <w:rPr>
                <w:color w:val="000D2D"/>
              </w:rPr>
              <w:t>.</w:t>
            </w:r>
            <w:r>
              <w:rPr>
                <w:color w:val="000D2D"/>
              </w:rPr>
              <w:t>66</w:t>
            </w:r>
            <w:r w:rsidR="005E1879" w:rsidRPr="00E570AB">
              <w:rPr>
                <w:color w:val="000D2D"/>
              </w:rPr>
              <w:t>%</w:t>
            </w:r>
          </w:p>
        </w:tc>
        <w:tc>
          <w:tcPr>
            <w:tcW w:w="2410" w:type="dxa"/>
          </w:tcPr>
          <w:p w14:paraId="0700A4B6" w14:textId="729886C0" w:rsidR="005E1879" w:rsidRPr="00E570AB" w:rsidRDefault="00947932" w:rsidP="00141C9B">
            <w:pPr>
              <w:rPr>
                <w:color w:val="000D2D"/>
              </w:rPr>
            </w:pPr>
            <w:r>
              <w:rPr>
                <w:color w:val="000D2D"/>
              </w:rPr>
              <w:t xml:space="preserve">  0</w:t>
            </w:r>
            <w:r w:rsidR="005E1879" w:rsidRPr="00E570AB">
              <w:rPr>
                <w:color w:val="000D2D"/>
              </w:rPr>
              <w:t>.</w:t>
            </w:r>
            <w:r>
              <w:rPr>
                <w:color w:val="000D2D"/>
              </w:rPr>
              <w:t>74</w:t>
            </w:r>
            <w:r w:rsidR="005E1879" w:rsidRPr="00E570AB">
              <w:rPr>
                <w:color w:val="000D2D"/>
              </w:rPr>
              <w:t>%</w:t>
            </w:r>
          </w:p>
        </w:tc>
        <w:tc>
          <w:tcPr>
            <w:tcW w:w="1957" w:type="dxa"/>
          </w:tcPr>
          <w:p w14:paraId="3EBB9815" w14:textId="50A5E7AB" w:rsidR="005E1879" w:rsidRPr="009B32C3" w:rsidRDefault="005E1879" w:rsidP="00141C9B">
            <w:pPr>
              <w:rPr>
                <w:color w:val="000D2D"/>
              </w:rPr>
            </w:pPr>
            <w:r w:rsidRPr="009B32C3">
              <w:rPr>
                <w:color w:val="000D2D"/>
              </w:rPr>
              <w:t>N/A</w:t>
            </w:r>
          </w:p>
        </w:tc>
        <w:tc>
          <w:tcPr>
            <w:tcW w:w="1958" w:type="dxa"/>
          </w:tcPr>
          <w:p w14:paraId="3DC63FC9" w14:textId="540ECD20" w:rsidR="005E1879" w:rsidRPr="009B32C3" w:rsidRDefault="005E1879" w:rsidP="00141C9B">
            <w:pPr>
              <w:rPr>
                <w:color w:val="000D2D"/>
              </w:rPr>
            </w:pPr>
            <w:r w:rsidRPr="009B32C3">
              <w:rPr>
                <w:color w:val="000D2D"/>
              </w:rPr>
              <w:t>N/A</w:t>
            </w:r>
          </w:p>
        </w:tc>
        <w:tc>
          <w:tcPr>
            <w:tcW w:w="2039" w:type="dxa"/>
          </w:tcPr>
          <w:p w14:paraId="7989D9E8" w14:textId="7119F496" w:rsidR="005E1879" w:rsidRPr="009B32C3" w:rsidRDefault="005E1879" w:rsidP="00141C9B">
            <w:pPr>
              <w:rPr>
                <w:color w:val="000D2D"/>
              </w:rPr>
            </w:pPr>
            <w:r w:rsidRPr="009B32C3">
              <w:rPr>
                <w:color w:val="000D2D"/>
              </w:rPr>
              <w:t>N/A</w:t>
            </w:r>
          </w:p>
        </w:tc>
      </w:tr>
    </w:tbl>
    <w:p w14:paraId="2C60D774" w14:textId="77777777" w:rsidR="00141C9B" w:rsidRPr="009B32C3" w:rsidRDefault="00141C9B" w:rsidP="00141C9B">
      <w:pPr>
        <w:spacing w:after="0"/>
        <w:rPr>
          <w:color w:val="000D2D"/>
          <w:sz w:val="24"/>
          <w:szCs w:val="24"/>
        </w:rPr>
      </w:pPr>
    </w:p>
    <w:p w14:paraId="6D2C2BA5" w14:textId="17D7C7E5" w:rsidR="00EE65F2" w:rsidRPr="009B32C3" w:rsidRDefault="00141C9B" w:rsidP="00141C9B">
      <w:pPr>
        <w:spacing w:after="0"/>
        <w:rPr>
          <w:b/>
          <w:color w:val="000D2D"/>
        </w:rPr>
      </w:pPr>
      <w:r w:rsidRPr="009B32C3">
        <w:rPr>
          <w:b/>
          <w:color w:val="000D2D"/>
        </w:rPr>
        <w:t xml:space="preserve">Execution Factors – Equities – Liquidity Band 3 and </w:t>
      </w:r>
      <w:r w:rsidR="00167C2C" w:rsidRPr="009B32C3">
        <w:rPr>
          <w:b/>
          <w:color w:val="000D2D"/>
        </w:rPr>
        <w:t>4</w:t>
      </w:r>
      <w:r w:rsidRPr="009B32C3">
        <w:rPr>
          <w:b/>
          <w:color w:val="000D2D"/>
        </w:rPr>
        <w:t xml:space="preserve"> - ‘</w:t>
      </w:r>
      <w:r w:rsidR="00167C2C" w:rsidRPr="009B32C3">
        <w:rPr>
          <w:b/>
          <w:color w:val="000D2D"/>
        </w:rPr>
        <w:t>Less liquid</w:t>
      </w:r>
      <w:r w:rsidRPr="009B32C3">
        <w:rPr>
          <w:b/>
          <w:color w:val="000D2D"/>
        </w:rPr>
        <w:t xml:space="preserve"> equities’: </w:t>
      </w:r>
    </w:p>
    <w:p w14:paraId="62AAD397" w14:textId="4AD67694" w:rsidR="00C95F40" w:rsidRPr="009B32C3" w:rsidRDefault="00C95F40" w:rsidP="00C95F40">
      <w:pPr>
        <w:pStyle w:val="ListParagraph"/>
        <w:numPr>
          <w:ilvl w:val="0"/>
          <w:numId w:val="18"/>
        </w:numPr>
        <w:spacing w:after="0"/>
        <w:rPr>
          <w:color w:val="000D2D"/>
        </w:rPr>
      </w:pPr>
      <w:r w:rsidRPr="009B32C3">
        <w:rPr>
          <w:color w:val="000D2D"/>
        </w:rPr>
        <w:t>Price</w:t>
      </w:r>
    </w:p>
    <w:p w14:paraId="5DD83783" w14:textId="4C459306" w:rsidR="00C95F40" w:rsidRPr="009B32C3" w:rsidRDefault="00C95F40" w:rsidP="00C95F40">
      <w:pPr>
        <w:pStyle w:val="ListParagraph"/>
        <w:numPr>
          <w:ilvl w:val="0"/>
          <w:numId w:val="18"/>
        </w:numPr>
        <w:spacing w:after="0"/>
        <w:rPr>
          <w:color w:val="000D2D"/>
        </w:rPr>
      </w:pPr>
      <w:r w:rsidRPr="009B32C3">
        <w:rPr>
          <w:color w:val="000D2D"/>
        </w:rPr>
        <w:t xml:space="preserve">Costs </w:t>
      </w:r>
    </w:p>
    <w:p w14:paraId="208FEB60" w14:textId="6512EF3D" w:rsidR="00C95F40" w:rsidRPr="009B32C3" w:rsidRDefault="00C95F40" w:rsidP="00C95F40">
      <w:pPr>
        <w:pStyle w:val="ListParagraph"/>
        <w:numPr>
          <w:ilvl w:val="0"/>
          <w:numId w:val="18"/>
        </w:numPr>
        <w:spacing w:after="0"/>
        <w:rPr>
          <w:color w:val="000D2D"/>
        </w:rPr>
      </w:pPr>
      <w:r w:rsidRPr="009B32C3">
        <w:rPr>
          <w:color w:val="000D2D"/>
        </w:rPr>
        <w:t xml:space="preserve">Likelihood of execution </w:t>
      </w:r>
    </w:p>
    <w:p w14:paraId="24261C28" w14:textId="604D794C" w:rsidR="00C95F40" w:rsidRPr="009B32C3" w:rsidRDefault="00C95F40" w:rsidP="00C95F40">
      <w:pPr>
        <w:pStyle w:val="ListParagraph"/>
        <w:numPr>
          <w:ilvl w:val="0"/>
          <w:numId w:val="18"/>
        </w:numPr>
        <w:spacing w:after="0"/>
        <w:rPr>
          <w:color w:val="000D2D"/>
        </w:rPr>
      </w:pPr>
      <w:r w:rsidRPr="009B32C3">
        <w:rPr>
          <w:color w:val="000D2D"/>
        </w:rPr>
        <w:t>Size and nature of the order</w:t>
      </w:r>
    </w:p>
    <w:p w14:paraId="2270E6A8" w14:textId="21CFDB34" w:rsidR="00C95F40" w:rsidRPr="009B32C3" w:rsidRDefault="00C95F40" w:rsidP="00C95F40">
      <w:pPr>
        <w:pStyle w:val="ListParagraph"/>
        <w:numPr>
          <w:ilvl w:val="0"/>
          <w:numId w:val="18"/>
        </w:numPr>
        <w:spacing w:after="0"/>
        <w:rPr>
          <w:color w:val="000D2D"/>
        </w:rPr>
      </w:pPr>
      <w:r w:rsidRPr="009B32C3">
        <w:rPr>
          <w:color w:val="000D2D"/>
        </w:rPr>
        <w:t>Market impact</w:t>
      </w:r>
    </w:p>
    <w:p w14:paraId="17333047" w14:textId="3E191157" w:rsidR="00C95F40" w:rsidRPr="009B32C3" w:rsidRDefault="00C95F40" w:rsidP="00C95F40">
      <w:pPr>
        <w:pStyle w:val="ListParagraph"/>
        <w:numPr>
          <w:ilvl w:val="0"/>
          <w:numId w:val="18"/>
        </w:numPr>
        <w:spacing w:after="0"/>
        <w:rPr>
          <w:color w:val="000D2D"/>
        </w:rPr>
      </w:pPr>
      <w:r w:rsidRPr="009B32C3">
        <w:rPr>
          <w:color w:val="000D2D"/>
        </w:rPr>
        <w:t xml:space="preserve">Other transaction costs </w:t>
      </w:r>
    </w:p>
    <w:p w14:paraId="101A8ABE" w14:textId="68396EE1" w:rsidR="00141C9B" w:rsidRPr="009B32C3" w:rsidRDefault="00141C9B" w:rsidP="00141C9B">
      <w:pPr>
        <w:spacing w:after="0"/>
        <w:ind w:left="567" w:hanging="567"/>
        <w:rPr>
          <w:b/>
          <w:color w:val="000D2D"/>
          <w:sz w:val="24"/>
          <w:szCs w:val="24"/>
        </w:rPr>
      </w:pPr>
    </w:p>
    <w:p w14:paraId="62BAF9F7" w14:textId="6082D3BC" w:rsidR="00C95F40" w:rsidRPr="009B32C3" w:rsidRDefault="006A16A9" w:rsidP="00141C9B">
      <w:pPr>
        <w:spacing w:after="0"/>
        <w:ind w:left="567" w:hanging="567"/>
        <w:rPr>
          <w:color w:val="000D2D"/>
        </w:rPr>
      </w:pPr>
      <w:r w:rsidRPr="009B32C3">
        <w:rPr>
          <w:color w:val="000D2D"/>
        </w:rPr>
        <w:t xml:space="preserve">For slightly less liquid markets, the impact of the trades takes greater significance, but speed of execution remains an important factor. </w:t>
      </w:r>
    </w:p>
    <w:p w14:paraId="3A145DE2" w14:textId="77777777" w:rsidR="00C95F40" w:rsidRPr="009B32C3" w:rsidRDefault="00C95F40" w:rsidP="00141C9B">
      <w:pPr>
        <w:spacing w:after="0"/>
        <w:ind w:left="567" w:hanging="567"/>
        <w:rPr>
          <w:b/>
          <w:color w:val="000D2D"/>
          <w:sz w:val="24"/>
          <w:szCs w:val="24"/>
        </w:rPr>
      </w:pPr>
    </w:p>
    <w:p w14:paraId="3A62892F" w14:textId="77777777" w:rsidR="00C95F40" w:rsidRPr="009B32C3" w:rsidRDefault="00C95F40" w:rsidP="00141C9B">
      <w:pPr>
        <w:spacing w:after="0"/>
        <w:ind w:left="567" w:hanging="567"/>
        <w:rPr>
          <w:b/>
          <w:color w:val="000D2D"/>
          <w:sz w:val="24"/>
          <w:szCs w:val="24"/>
        </w:rPr>
      </w:pPr>
    </w:p>
    <w:p w14:paraId="654941E9" w14:textId="3A2BEFA6" w:rsidR="00141C9B" w:rsidRDefault="00141C9B">
      <w:pPr>
        <w:rPr>
          <w:color w:val="000D2D"/>
          <w:sz w:val="24"/>
          <w:szCs w:val="24"/>
        </w:rPr>
      </w:pPr>
    </w:p>
    <w:p w14:paraId="42958D12" w14:textId="1ADDFFD9" w:rsidR="00425631" w:rsidRDefault="00425631">
      <w:pPr>
        <w:rPr>
          <w:color w:val="000D2D"/>
          <w:sz w:val="24"/>
          <w:szCs w:val="24"/>
        </w:rPr>
      </w:pPr>
    </w:p>
    <w:p w14:paraId="51ACDEFA" w14:textId="77777777" w:rsidR="00425631" w:rsidRPr="009B32C3" w:rsidRDefault="00425631">
      <w:pPr>
        <w:rPr>
          <w:color w:val="000D2D"/>
          <w:sz w:val="24"/>
          <w:szCs w:val="24"/>
        </w:rPr>
      </w:pPr>
    </w:p>
    <w:p w14:paraId="46726BE6" w14:textId="77777777" w:rsidR="00A631EA" w:rsidRPr="009B32C3" w:rsidRDefault="00A631EA" w:rsidP="00A631EA">
      <w:pPr>
        <w:spacing w:after="0"/>
        <w:rPr>
          <w:color w:val="000D2D"/>
          <w:sz w:val="24"/>
          <w:szCs w:val="24"/>
        </w:rPr>
      </w:pPr>
    </w:p>
    <w:tbl>
      <w:tblPr>
        <w:tblStyle w:val="TableGrid3"/>
        <w:tblW w:w="14029" w:type="dxa"/>
        <w:tblLook w:val="04A0" w:firstRow="1" w:lastRow="0" w:firstColumn="1" w:lastColumn="0" w:noHBand="0" w:noVBand="1"/>
      </w:tblPr>
      <w:tblGrid>
        <w:gridCol w:w="3256"/>
        <w:gridCol w:w="2409"/>
        <w:gridCol w:w="2410"/>
        <w:gridCol w:w="1957"/>
        <w:gridCol w:w="1958"/>
        <w:gridCol w:w="2039"/>
      </w:tblGrid>
      <w:tr w:rsidR="008D7590" w:rsidRPr="008D7590" w14:paraId="06358F36" w14:textId="77777777" w:rsidTr="008D7590">
        <w:tc>
          <w:tcPr>
            <w:tcW w:w="3256" w:type="dxa"/>
            <w:shd w:val="clear" w:color="auto" w:fill="000D2D"/>
          </w:tcPr>
          <w:p w14:paraId="2EA231BE" w14:textId="77777777" w:rsidR="00A631EA" w:rsidRPr="008D7590" w:rsidRDefault="00A631EA" w:rsidP="00A631EA">
            <w:pPr>
              <w:tabs>
                <w:tab w:val="left" w:pos="419"/>
                <w:tab w:val="left" w:pos="570"/>
              </w:tabs>
              <w:spacing w:before="60" w:after="60"/>
              <w:rPr>
                <w:b/>
                <w:color w:val="ABA9AA"/>
              </w:rPr>
            </w:pPr>
            <w:r w:rsidRPr="008D7590">
              <w:rPr>
                <w:b/>
                <w:color w:val="ABA9AA"/>
              </w:rPr>
              <w:t>Class of Instrument:</w:t>
            </w:r>
            <w:r w:rsidRPr="008D7590">
              <w:rPr>
                <w:b/>
                <w:color w:val="ABA9AA"/>
              </w:rPr>
              <w:tab/>
            </w:r>
          </w:p>
        </w:tc>
        <w:tc>
          <w:tcPr>
            <w:tcW w:w="10773" w:type="dxa"/>
            <w:gridSpan w:val="5"/>
            <w:shd w:val="clear" w:color="auto" w:fill="000D2D"/>
          </w:tcPr>
          <w:p w14:paraId="1F5B220A" w14:textId="77777777" w:rsidR="00A631EA" w:rsidRPr="008D7590" w:rsidRDefault="00A631EA" w:rsidP="00BC1282">
            <w:pPr>
              <w:spacing w:before="60" w:after="60"/>
              <w:rPr>
                <w:b/>
                <w:color w:val="ABA9AA"/>
              </w:rPr>
            </w:pPr>
            <w:r w:rsidRPr="008D7590">
              <w:rPr>
                <w:b/>
                <w:color w:val="ABA9AA"/>
              </w:rPr>
              <w:t xml:space="preserve">(a) Equities - Shares &amp; Depositary Receipts - </w:t>
            </w:r>
            <w:r w:rsidR="00BC1282" w:rsidRPr="008D7590">
              <w:rPr>
                <w:b/>
                <w:color w:val="ABA9AA"/>
              </w:rPr>
              <w:t>(</w:t>
            </w:r>
            <w:r w:rsidR="00141C9B" w:rsidRPr="008D7590">
              <w:rPr>
                <w:b/>
                <w:color w:val="ABA9AA"/>
              </w:rPr>
              <w:t>ii</w:t>
            </w:r>
            <w:r w:rsidR="00BC1282" w:rsidRPr="008D7590">
              <w:rPr>
                <w:b/>
                <w:color w:val="ABA9AA"/>
              </w:rPr>
              <w:t>i) Tick size liquidity band 1 and 2</w:t>
            </w:r>
            <w:r w:rsidRPr="008D7590">
              <w:rPr>
                <w:b/>
                <w:color w:val="ABA9AA"/>
              </w:rPr>
              <w:t xml:space="preserve"> (from </w:t>
            </w:r>
            <w:r w:rsidR="00BC1282" w:rsidRPr="008D7590">
              <w:rPr>
                <w:b/>
                <w:color w:val="ABA9AA"/>
              </w:rPr>
              <w:t xml:space="preserve">0 to 79 </w:t>
            </w:r>
            <w:r w:rsidRPr="008D7590">
              <w:rPr>
                <w:b/>
                <w:color w:val="ABA9AA"/>
              </w:rPr>
              <w:t>trades per day)</w:t>
            </w:r>
          </w:p>
        </w:tc>
      </w:tr>
      <w:tr w:rsidR="009B32C3" w:rsidRPr="009B32C3" w14:paraId="60C7794E" w14:textId="77777777" w:rsidTr="00141C9B">
        <w:tc>
          <w:tcPr>
            <w:tcW w:w="5665" w:type="dxa"/>
            <w:gridSpan w:val="2"/>
          </w:tcPr>
          <w:p w14:paraId="4FC3B939" w14:textId="77777777" w:rsidR="00A631EA" w:rsidRPr="009B32C3" w:rsidRDefault="00A631EA" w:rsidP="00A631EA">
            <w:pPr>
              <w:spacing w:before="60" w:after="60"/>
              <w:rPr>
                <w:color w:val="000D2D"/>
              </w:rPr>
            </w:pPr>
            <w:r w:rsidRPr="009B32C3">
              <w:rPr>
                <w:b/>
                <w:color w:val="000D2D"/>
              </w:rPr>
              <w:t>Notification if &lt;1 average trade per business day in the previous year:</w:t>
            </w:r>
          </w:p>
        </w:tc>
        <w:tc>
          <w:tcPr>
            <w:tcW w:w="2410" w:type="dxa"/>
          </w:tcPr>
          <w:p w14:paraId="22A598CD" w14:textId="5FE61019" w:rsidR="00A631EA" w:rsidRPr="009B32C3" w:rsidRDefault="005E1879" w:rsidP="00A631EA">
            <w:pPr>
              <w:spacing w:before="60" w:after="60"/>
              <w:rPr>
                <w:b/>
                <w:color w:val="000D2D"/>
              </w:rPr>
            </w:pPr>
            <w:r w:rsidRPr="009B32C3">
              <w:rPr>
                <w:b/>
                <w:color w:val="000D2D"/>
              </w:rPr>
              <w:t>N</w:t>
            </w:r>
          </w:p>
        </w:tc>
        <w:tc>
          <w:tcPr>
            <w:tcW w:w="3915" w:type="dxa"/>
            <w:gridSpan w:val="2"/>
          </w:tcPr>
          <w:p w14:paraId="45E3A2D3" w14:textId="77777777" w:rsidR="00A631EA" w:rsidRPr="009B32C3" w:rsidRDefault="00A631EA" w:rsidP="00A631EA">
            <w:pPr>
              <w:spacing w:before="60" w:after="60"/>
              <w:rPr>
                <w:b/>
                <w:color w:val="000D2D"/>
                <w:highlight w:val="yellow"/>
              </w:rPr>
            </w:pPr>
            <w:r w:rsidRPr="009B32C3">
              <w:rPr>
                <w:b/>
                <w:color w:val="000D2D"/>
              </w:rPr>
              <w:t>Class Percentage of total equity volumes:</w:t>
            </w:r>
          </w:p>
        </w:tc>
        <w:tc>
          <w:tcPr>
            <w:tcW w:w="2039" w:type="dxa"/>
          </w:tcPr>
          <w:p w14:paraId="48EA54E4" w14:textId="4BAA58E2" w:rsidR="00A631EA" w:rsidRPr="00417A50" w:rsidRDefault="00A01942" w:rsidP="00A631EA">
            <w:pPr>
              <w:spacing w:before="60" w:after="60"/>
              <w:rPr>
                <w:b/>
                <w:color w:val="000D2D"/>
              </w:rPr>
            </w:pPr>
            <w:r>
              <w:rPr>
                <w:b/>
                <w:color w:val="000D2D"/>
              </w:rPr>
              <w:t>19</w:t>
            </w:r>
            <w:r w:rsidR="005E1879" w:rsidRPr="00417A50">
              <w:rPr>
                <w:b/>
                <w:color w:val="000D2D"/>
              </w:rPr>
              <w:t>.</w:t>
            </w:r>
            <w:r>
              <w:rPr>
                <w:b/>
                <w:color w:val="000D2D"/>
              </w:rPr>
              <w:t>63</w:t>
            </w:r>
            <w:r w:rsidR="005E1879" w:rsidRPr="00417A50">
              <w:rPr>
                <w:b/>
                <w:color w:val="000D2D"/>
              </w:rPr>
              <w:t>%</w:t>
            </w:r>
          </w:p>
        </w:tc>
      </w:tr>
      <w:tr w:rsidR="009B32C3" w:rsidRPr="009B32C3" w14:paraId="7A6DAF32" w14:textId="77777777" w:rsidTr="00141C9B">
        <w:tc>
          <w:tcPr>
            <w:tcW w:w="3256" w:type="dxa"/>
          </w:tcPr>
          <w:p w14:paraId="5F85944E" w14:textId="77777777" w:rsidR="00A631EA" w:rsidRPr="009B32C3" w:rsidRDefault="00A631EA" w:rsidP="00A631EA">
            <w:pPr>
              <w:spacing w:before="60" w:after="60"/>
              <w:rPr>
                <w:b/>
                <w:color w:val="000D2D"/>
              </w:rPr>
            </w:pPr>
            <w:r w:rsidRPr="009B32C3">
              <w:rPr>
                <w:b/>
                <w:color w:val="000D2D"/>
              </w:rPr>
              <w:t>Top five execution venues ranked in terms of trading volumes (descending order)</w:t>
            </w:r>
          </w:p>
        </w:tc>
        <w:tc>
          <w:tcPr>
            <w:tcW w:w="2409" w:type="dxa"/>
          </w:tcPr>
          <w:p w14:paraId="22974E8D" w14:textId="77777777" w:rsidR="00A631EA" w:rsidRPr="009B32C3" w:rsidRDefault="00A631EA" w:rsidP="00BC1282">
            <w:pPr>
              <w:spacing w:before="60" w:after="60"/>
              <w:jc w:val="center"/>
              <w:rPr>
                <w:b/>
                <w:color w:val="000D2D"/>
              </w:rPr>
            </w:pPr>
            <w:r w:rsidRPr="009B32C3">
              <w:rPr>
                <w:b/>
                <w:color w:val="000D2D"/>
              </w:rPr>
              <w:t>Proportion of volume traded as a percentage of total in that class</w:t>
            </w:r>
          </w:p>
        </w:tc>
        <w:tc>
          <w:tcPr>
            <w:tcW w:w="2410" w:type="dxa"/>
          </w:tcPr>
          <w:p w14:paraId="21AD4560" w14:textId="77777777" w:rsidR="00A631EA" w:rsidRPr="009B32C3" w:rsidRDefault="00A631EA" w:rsidP="00BC1282">
            <w:pPr>
              <w:spacing w:before="60" w:after="60"/>
              <w:jc w:val="center"/>
              <w:rPr>
                <w:b/>
                <w:color w:val="000D2D"/>
              </w:rPr>
            </w:pPr>
            <w:r w:rsidRPr="009B32C3">
              <w:rPr>
                <w:b/>
                <w:color w:val="000D2D"/>
              </w:rPr>
              <w:t>Proportion of orders executed as percentage of total in that class</w:t>
            </w:r>
          </w:p>
        </w:tc>
        <w:tc>
          <w:tcPr>
            <w:tcW w:w="1957" w:type="dxa"/>
          </w:tcPr>
          <w:p w14:paraId="0F4B38AA" w14:textId="77777777" w:rsidR="00A631EA" w:rsidRPr="009B32C3" w:rsidRDefault="00A631EA" w:rsidP="00BC1282">
            <w:pPr>
              <w:spacing w:before="60" w:after="60"/>
              <w:jc w:val="center"/>
              <w:rPr>
                <w:b/>
                <w:color w:val="000D2D"/>
              </w:rPr>
            </w:pPr>
            <w:r w:rsidRPr="009B32C3">
              <w:rPr>
                <w:b/>
                <w:color w:val="000D2D"/>
              </w:rPr>
              <w:t>Percentage of passive orders</w:t>
            </w:r>
          </w:p>
        </w:tc>
        <w:tc>
          <w:tcPr>
            <w:tcW w:w="1958" w:type="dxa"/>
          </w:tcPr>
          <w:p w14:paraId="53C97B7E" w14:textId="77777777" w:rsidR="00A631EA" w:rsidRPr="009B32C3" w:rsidRDefault="00A631EA" w:rsidP="00BC1282">
            <w:pPr>
              <w:spacing w:before="60" w:after="60"/>
              <w:jc w:val="center"/>
              <w:rPr>
                <w:b/>
                <w:color w:val="000D2D"/>
              </w:rPr>
            </w:pPr>
            <w:r w:rsidRPr="009B32C3">
              <w:rPr>
                <w:b/>
                <w:color w:val="000D2D"/>
              </w:rPr>
              <w:t>Percentage of aggressive orders</w:t>
            </w:r>
          </w:p>
        </w:tc>
        <w:tc>
          <w:tcPr>
            <w:tcW w:w="2039" w:type="dxa"/>
          </w:tcPr>
          <w:p w14:paraId="73937147" w14:textId="77777777" w:rsidR="00A631EA" w:rsidRPr="009B32C3" w:rsidRDefault="00A631EA" w:rsidP="00BC1282">
            <w:pPr>
              <w:spacing w:before="60" w:after="60"/>
              <w:jc w:val="center"/>
              <w:rPr>
                <w:b/>
                <w:color w:val="000D2D"/>
              </w:rPr>
            </w:pPr>
            <w:r w:rsidRPr="009B32C3">
              <w:rPr>
                <w:b/>
                <w:color w:val="000D2D"/>
              </w:rPr>
              <w:t>Percentage of directed orders</w:t>
            </w:r>
          </w:p>
        </w:tc>
      </w:tr>
      <w:tr w:rsidR="009B32C3" w:rsidRPr="009B32C3" w14:paraId="4F11303B" w14:textId="77777777" w:rsidTr="00141C9B">
        <w:tc>
          <w:tcPr>
            <w:tcW w:w="3256" w:type="dxa"/>
          </w:tcPr>
          <w:p w14:paraId="5CE6FB7C" w14:textId="7CAD723C" w:rsidR="005E1879" w:rsidRPr="009B32C3" w:rsidRDefault="00F233AA" w:rsidP="00BC1282">
            <w:pPr>
              <w:spacing w:before="60" w:after="60"/>
              <w:rPr>
                <w:color w:val="000D2D"/>
              </w:rPr>
            </w:pPr>
            <w:r w:rsidRPr="009B32C3">
              <w:rPr>
                <w:color w:val="000D2D"/>
              </w:rPr>
              <w:t>Credo Group</w:t>
            </w:r>
          </w:p>
        </w:tc>
        <w:tc>
          <w:tcPr>
            <w:tcW w:w="2409" w:type="dxa"/>
          </w:tcPr>
          <w:p w14:paraId="244ABAA9" w14:textId="04608C28" w:rsidR="005E1879" w:rsidRPr="00280FE9" w:rsidRDefault="00A01942" w:rsidP="00BC1282">
            <w:pPr>
              <w:spacing w:before="60" w:after="60"/>
              <w:rPr>
                <w:color w:val="000D2D"/>
              </w:rPr>
            </w:pPr>
            <w:r>
              <w:rPr>
                <w:color w:val="000D2D"/>
              </w:rPr>
              <w:t>50</w:t>
            </w:r>
            <w:r w:rsidR="00F233AA" w:rsidRPr="00280FE9">
              <w:rPr>
                <w:color w:val="000D2D"/>
              </w:rPr>
              <w:t>.</w:t>
            </w:r>
            <w:r>
              <w:rPr>
                <w:color w:val="000D2D"/>
              </w:rPr>
              <w:t>31</w:t>
            </w:r>
            <w:r w:rsidR="00F233AA" w:rsidRPr="00280FE9">
              <w:rPr>
                <w:color w:val="000D2D"/>
              </w:rPr>
              <w:t>%</w:t>
            </w:r>
          </w:p>
        </w:tc>
        <w:tc>
          <w:tcPr>
            <w:tcW w:w="2410" w:type="dxa"/>
          </w:tcPr>
          <w:p w14:paraId="61E7AD79" w14:textId="16044166" w:rsidR="005E1879" w:rsidRPr="00280FE9" w:rsidRDefault="00A01942" w:rsidP="00BC1282">
            <w:pPr>
              <w:spacing w:before="60" w:after="60"/>
              <w:rPr>
                <w:color w:val="000D2D"/>
              </w:rPr>
            </w:pPr>
            <w:r>
              <w:rPr>
                <w:color w:val="000D2D"/>
              </w:rPr>
              <w:t>7</w:t>
            </w:r>
            <w:r w:rsidR="00F233AA" w:rsidRPr="00280FE9">
              <w:rPr>
                <w:color w:val="000D2D"/>
              </w:rPr>
              <w:t>5.</w:t>
            </w:r>
            <w:r>
              <w:rPr>
                <w:color w:val="000D2D"/>
              </w:rPr>
              <w:t>26</w:t>
            </w:r>
            <w:r w:rsidR="00F233AA" w:rsidRPr="00280FE9">
              <w:rPr>
                <w:color w:val="000D2D"/>
              </w:rPr>
              <w:t>%</w:t>
            </w:r>
          </w:p>
        </w:tc>
        <w:tc>
          <w:tcPr>
            <w:tcW w:w="1957" w:type="dxa"/>
          </w:tcPr>
          <w:p w14:paraId="0FF6F11F" w14:textId="62B9F8D4" w:rsidR="005E1879" w:rsidRPr="009B32C3" w:rsidRDefault="005E1879" w:rsidP="00BC1282">
            <w:pPr>
              <w:spacing w:before="60" w:after="60"/>
              <w:rPr>
                <w:b/>
                <w:color w:val="000D2D"/>
              </w:rPr>
            </w:pPr>
            <w:r w:rsidRPr="009B32C3">
              <w:rPr>
                <w:color w:val="000D2D"/>
              </w:rPr>
              <w:t>N/A</w:t>
            </w:r>
          </w:p>
        </w:tc>
        <w:tc>
          <w:tcPr>
            <w:tcW w:w="1958" w:type="dxa"/>
          </w:tcPr>
          <w:p w14:paraId="0F8CF6E6" w14:textId="74F51E91" w:rsidR="005E1879" w:rsidRPr="009B32C3" w:rsidRDefault="005E1879" w:rsidP="00BC1282">
            <w:pPr>
              <w:spacing w:before="60" w:after="60"/>
              <w:rPr>
                <w:b/>
                <w:color w:val="000D2D"/>
              </w:rPr>
            </w:pPr>
            <w:r w:rsidRPr="009B32C3">
              <w:rPr>
                <w:color w:val="000D2D"/>
              </w:rPr>
              <w:t>N/A</w:t>
            </w:r>
          </w:p>
        </w:tc>
        <w:tc>
          <w:tcPr>
            <w:tcW w:w="2039" w:type="dxa"/>
          </w:tcPr>
          <w:p w14:paraId="2DE897B8" w14:textId="4D27DC4B" w:rsidR="005E1879" w:rsidRPr="009B32C3" w:rsidRDefault="005E1879" w:rsidP="00BC1282">
            <w:pPr>
              <w:spacing w:before="60" w:after="60"/>
              <w:rPr>
                <w:b/>
                <w:color w:val="000D2D"/>
              </w:rPr>
            </w:pPr>
            <w:r w:rsidRPr="009B32C3">
              <w:rPr>
                <w:color w:val="000D2D"/>
              </w:rPr>
              <w:t>N/A</w:t>
            </w:r>
          </w:p>
        </w:tc>
      </w:tr>
      <w:tr w:rsidR="009B32C3" w:rsidRPr="009B32C3" w14:paraId="43CFA2D4" w14:textId="77777777" w:rsidTr="00141C9B">
        <w:tc>
          <w:tcPr>
            <w:tcW w:w="3256" w:type="dxa"/>
          </w:tcPr>
          <w:p w14:paraId="61741EB9" w14:textId="4EEA6DC0" w:rsidR="005E1879" w:rsidRPr="009B32C3" w:rsidRDefault="00A01942" w:rsidP="00BC1282">
            <w:pPr>
              <w:spacing w:before="60" w:after="60"/>
              <w:rPr>
                <w:color w:val="000D2D"/>
              </w:rPr>
            </w:pPr>
            <w:r w:rsidRPr="009B32C3">
              <w:rPr>
                <w:color w:val="000D2D"/>
              </w:rPr>
              <w:t>Jefferies</w:t>
            </w:r>
          </w:p>
        </w:tc>
        <w:tc>
          <w:tcPr>
            <w:tcW w:w="2409" w:type="dxa"/>
          </w:tcPr>
          <w:p w14:paraId="3ECB9080" w14:textId="02E493B8" w:rsidR="005E1879" w:rsidRPr="00280FE9" w:rsidRDefault="00280FE9" w:rsidP="00BC1282">
            <w:pPr>
              <w:spacing w:before="60" w:after="60"/>
              <w:rPr>
                <w:color w:val="000D2D"/>
              </w:rPr>
            </w:pPr>
            <w:r w:rsidRPr="00280FE9">
              <w:rPr>
                <w:color w:val="000D2D"/>
              </w:rPr>
              <w:t>2</w:t>
            </w:r>
            <w:r w:rsidR="00A01942">
              <w:rPr>
                <w:color w:val="000D2D"/>
              </w:rPr>
              <w:t>2</w:t>
            </w:r>
            <w:r w:rsidR="00F233AA" w:rsidRPr="00280FE9">
              <w:rPr>
                <w:color w:val="000D2D"/>
              </w:rPr>
              <w:t>.</w:t>
            </w:r>
            <w:r w:rsidR="00A01942">
              <w:rPr>
                <w:color w:val="000D2D"/>
              </w:rPr>
              <w:t>24</w:t>
            </w:r>
            <w:r w:rsidR="00F233AA" w:rsidRPr="00280FE9">
              <w:rPr>
                <w:color w:val="000D2D"/>
              </w:rPr>
              <w:t>%</w:t>
            </w:r>
          </w:p>
        </w:tc>
        <w:tc>
          <w:tcPr>
            <w:tcW w:w="2410" w:type="dxa"/>
          </w:tcPr>
          <w:p w14:paraId="22734A8E" w14:textId="37972B5F" w:rsidR="005E1879" w:rsidRPr="00280FE9" w:rsidRDefault="00A01942" w:rsidP="00BC1282">
            <w:pPr>
              <w:spacing w:before="60" w:after="60"/>
              <w:rPr>
                <w:color w:val="000D2D"/>
              </w:rPr>
            </w:pPr>
            <w:r>
              <w:rPr>
                <w:color w:val="000D2D"/>
              </w:rPr>
              <w:t xml:space="preserve">  4</w:t>
            </w:r>
            <w:r w:rsidR="00F233AA" w:rsidRPr="00280FE9">
              <w:rPr>
                <w:color w:val="000D2D"/>
              </w:rPr>
              <w:t>.</w:t>
            </w:r>
            <w:r>
              <w:rPr>
                <w:color w:val="000D2D"/>
              </w:rPr>
              <w:t>12</w:t>
            </w:r>
            <w:r w:rsidR="00F233AA" w:rsidRPr="00280FE9">
              <w:rPr>
                <w:color w:val="000D2D"/>
              </w:rPr>
              <w:t>%</w:t>
            </w:r>
          </w:p>
        </w:tc>
        <w:tc>
          <w:tcPr>
            <w:tcW w:w="1957" w:type="dxa"/>
          </w:tcPr>
          <w:p w14:paraId="3BFFEB13" w14:textId="2D2E6671" w:rsidR="005E1879" w:rsidRPr="009B32C3" w:rsidRDefault="005E1879" w:rsidP="00BC1282">
            <w:pPr>
              <w:spacing w:before="60" w:after="60"/>
              <w:rPr>
                <w:b/>
                <w:color w:val="000D2D"/>
              </w:rPr>
            </w:pPr>
            <w:r w:rsidRPr="009B32C3">
              <w:rPr>
                <w:color w:val="000D2D"/>
              </w:rPr>
              <w:t>N/A</w:t>
            </w:r>
          </w:p>
        </w:tc>
        <w:tc>
          <w:tcPr>
            <w:tcW w:w="1958" w:type="dxa"/>
          </w:tcPr>
          <w:p w14:paraId="63EA084C" w14:textId="30A9F156" w:rsidR="005E1879" w:rsidRPr="009B32C3" w:rsidRDefault="005E1879" w:rsidP="00BC1282">
            <w:pPr>
              <w:spacing w:before="60" w:after="60"/>
              <w:rPr>
                <w:b/>
                <w:color w:val="000D2D"/>
              </w:rPr>
            </w:pPr>
            <w:r w:rsidRPr="009B32C3">
              <w:rPr>
                <w:color w:val="000D2D"/>
              </w:rPr>
              <w:t>N/A</w:t>
            </w:r>
          </w:p>
        </w:tc>
        <w:tc>
          <w:tcPr>
            <w:tcW w:w="2039" w:type="dxa"/>
          </w:tcPr>
          <w:p w14:paraId="244D47FE" w14:textId="3E26B815" w:rsidR="005E1879" w:rsidRPr="009B32C3" w:rsidRDefault="005E1879" w:rsidP="00BC1282">
            <w:pPr>
              <w:spacing w:before="60" w:after="60"/>
              <w:rPr>
                <w:b/>
                <w:color w:val="000D2D"/>
              </w:rPr>
            </w:pPr>
            <w:r w:rsidRPr="009B32C3">
              <w:rPr>
                <w:color w:val="000D2D"/>
              </w:rPr>
              <w:t>N/A</w:t>
            </w:r>
          </w:p>
        </w:tc>
      </w:tr>
      <w:tr w:rsidR="009B32C3" w:rsidRPr="009B32C3" w14:paraId="69DE26FB" w14:textId="77777777" w:rsidTr="00141C9B">
        <w:tc>
          <w:tcPr>
            <w:tcW w:w="3256" w:type="dxa"/>
          </w:tcPr>
          <w:p w14:paraId="0FA68AC4" w14:textId="3E19D362" w:rsidR="008075F8" w:rsidRPr="009B32C3" w:rsidRDefault="00A01942" w:rsidP="00BC1282">
            <w:pPr>
              <w:spacing w:before="60" w:after="60"/>
              <w:rPr>
                <w:color w:val="000D2D"/>
              </w:rPr>
            </w:pPr>
            <w:r w:rsidRPr="009B32C3">
              <w:rPr>
                <w:color w:val="000D2D"/>
              </w:rPr>
              <w:t>KBL Luxembourg</w:t>
            </w:r>
          </w:p>
        </w:tc>
        <w:tc>
          <w:tcPr>
            <w:tcW w:w="2409" w:type="dxa"/>
          </w:tcPr>
          <w:p w14:paraId="03263C53" w14:textId="141355B2" w:rsidR="008075F8" w:rsidRPr="00280FE9" w:rsidRDefault="00A01942" w:rsidP="00BC1282">
            <w:pPr>
              <w:spacing w:before="60" w:after="60"/>
              <w:rPr>
                <w:color w:val="000D2D"/>
              </w:rPr>
            </w:pPr>
            <w:r>
              <w:rPr>
                <w:color w:val="000D2D"/>
              </w:rPr>
              <w:t>11</w:t>
            </w:r>
            <w:r w:rsidR="008075F8" w:rsidRPr="00280FE9">
              <w:rPr>
                <w:color w:val="000D2D"/>
              </w:rPr>
              <w:t>.</w:t>
            </w:r>
            <w:r w:rsidR="00280FE9" w:rsidRPr="00280FE9">
              <w:rPr>
                <w:color w:val="000D2D"/>
              </w:rPr>
              <w:t>8</w:t>
            </w:r>
            <w:r>
              <w:rPr>
                <w:color w:val="000D2D"/>
              </w:rPr>
              <w:t>3</w:t>
            </w:r>
            <w:r w:rsidR="008075F8" w:rsidRPr="00280FE9">
              <w:rPr>
                <w:color w:val="000D2D"/>
              </w:rPr>
              <w:t>%</w:t>
            </w:r>
          </w:p>
        </w:tc>
        <w:tc>
          <w:tcPr>
            <w:tcW w:w="2410" w:type="dxa"/>
          </w:tcPr>
          <w:p w14:paraId="6CE4FBB0" w14:textId="62155FAC" w:rsidR="008075F8" w:rsidRPr="00280FE9" w:rsidRDefault="00A01942" w:rsidP="00BC1282">
            <w:pPr>
              <w:spacing w:before="60" w:after="60"/>
              <w:rPr>
                <w:color w:val="000D2D"/>
              </w:rPr>
            </w:pPr>
            <w:r>
              <w:rPr>
                <w:color w:val="000D2D"/>
              </w:rPr>
              <w:t xml:space="preserve">  9</w:t>
            </w:r>
            <w:r w:rsidR="008075F8" w:rsidRPr="00280FE9">
              <w:rPr>
                <w:color w:val="000D2D"/>
              </w:rPr>
              <w:t>.</w:t>
            </w:r>
            <w:r>
              <w:rPr>
                <w:color w:val="000D2D"/>
              </w:rPr>
              <w:t>28</w:t>
            </w:r>
            <w:r w:rsidR="008075F8" w:rsidRPr="00280FE9">
              <w:rPr>
                <w:color w:val="000D2D"/>
              </w:rPr>
              <w:t>%</w:t>
            </w:r>
          </w:p>
        </w:tc>
        <w:tc>
          <w:tcPr>
            <w:tcW w:w="1957" w:type="dxa"/>
          </w:tcPr>
          <w:p w14:paraId="27989058" w14:textId="77779CC0" w:rsidR="008075F8" w:rsidRPr="009B32C3" w:rsidRDefault="008075F8" w:rsidP="00BC1282">
            <w:pPr>
              <w:spacing w:before="60" w:after="60"/>
              <w:rPr>
                <w:b/>
                <w:color w:val="000D2D"/>
              </w:rPr>
            </w:pPr>
            <w:r w:rsidRPr="009B32C3">
              <w:rPr>
                <w:color w:val="000D2D"/>
              </w:rPr>
              <w:t>N/A</w:t>
            </w:r>
          </w:p>
        </w:tc>
        <w:tc>
          <w:tcPr>
            <w:tcW w:w="1958" w:type="dxa"/>
          </w:tcPr>
          <w:p w14:paraId="22E63EB0" w14:textId="2D1B9F18" w:rsidR="008075F8" w:rsidRPr="009B32C3" w:rsidRDefault="008075F8" w:rsidP="00BC1282">
            <w:pPr>
              <w:spacing w:before="60" w:after="60"/>
              <w:rPr>
                <w:b/>
                <w:color w:val="000D2D"/>
              </w:rPr>
            </w:pPr>
            <w:r w:rsidRPr="009B32C3">
              <w:rPr>
                <w:color w:val="000D2D"/>
              </w:rPr>
              <w:t>N/A</w:t>
            </w:r>
          </w:p>
        </w:tc>
        <w:tc>
          <w:tcPr>
            <w:tcW w:w="2039" w:type="dxa"/>
          </w:tcPr>
          <w:p w14:paraId="75FF9AAF" w14:textId="4F00F8CE" w:rsidR="008075F8" w:rsidRPr="009B32C3" w:rsidRDefault="008075F8" w:rsidP="00BC1282">
            <w:pPr>
              <w:spacing w:before="60" w:after="60"/>
              <w:rPr>
                <w:b/>
                <w:color w:val="000D2D"/>
              </w:rPr>
            </w:pPr>
            <w:r w:rsidRPr="009B32C3">
              <w:rPr>
                <w:color w:val="000D2D"/>
              </w:rPr>
              <w:t>N/A</w:t>
            </w:r>
          </w:p>
        </w:tc>
      </w:tr>
      <w:tr w:rsidR="009B32C3" w:rsidRPr="009B32C3" w14:paraId="03E86CE7" w14:textId="77777777" w:rsidTr="00141C9B">
        <w:tc>
          <w:tcPr>
            <w:tcW w:w="3256" w:type="dxa"/>
          </w:tcPr>
          <w:p w14:paraId="0A8A4B52" w14:textId="1BB78CB1" w:rsidR="008075F8" w:rsidRPr="009B32C3" w:rsidRDefault="00A01942" w:rsidP="00BC1282">
            <w:pPr>
              <w:spacing w:before="60" w:after="60"/>
              <w:rPr>
                <w:color w:val="000D2D"/>
              </w:rPr>
            </w:pPr>
            <w:proofErr w:type="spellStart"/>
            <w:r>
              <w:rPr>
                <w:color w:val="000D2D"/>
              </w:rPr>
              <w:t>Ansbacher</w:t>
            </w:r>
            <w:proofErr w:type="spellEnd"/>
            <w:r>
              <w:rPr>
                <w:color w:val="000D2D"/>
              </w:rPr>
              <w:t xml:space="preserve"> (Bahamas) Ltd.</w:t>
            </w:r>
          </w:p>
        </w:tc>
        <w:tc>
          <w:tcPr>
            <w:tcW w:w="2409" w:type="dxa"/>
          </w:tcPr>
          <w:p w14:paraId="76783DFC" w14:textId="2734FD87" w:rsidR="008075F8" w:rsidRPr="00280FE9" w:rsidRDefault="00280FE9" w:rsidP="00BC1282">
            <w:pPr>
              <w:spacing w:before="60" w:after="60"/>
              <w:rPr>
                <w:color w:val="000D2D"/>
              </w:rPr>
            </w:pPr>
            <w:r w:rsidRPr="00280FE9">
              <w:rPr>
                <w:color w:val="000D2D"/>
              </w:rPr>
              <w:t>1</w:t>
            </w:r>
            <w:r w:rsidR="00A01942">
              <w:rPr>
                <w:color w:val="000D2D"/>
              </w:rPr>
              <w:t>0</w:t>
            </w:r>
            <w:r w:rsidR="008075F8" w:rsidRPr="00280FE9">
              <w:rPr>
                <w:color w:val="000D2D"/>
              </w:rPr>
              <w:t>.</w:t>
            </w:r>
            <w:r w:rsidR="00A01942">
              <w:rPr>
                <w:color w:val="000D2D"/>
              </w:rPr>
              <w:t>18</w:t>
            </w:r>
            <w:r w:rsidR="008075F8" w:rsidRPr="00280FE9">
              <w:rPr>
                <w:color w:val="000D2D"/>
              </w:rPr>
              <w:t>%</w:t>
            </w:r>
          </w:p>
        </w:tc>
        <w:tc>
          <w:tcPr>
            <w:tcW w:w="2410" w:type="dxa"/>
          </w:tcPr>
          <w:p w14:paraId="7DEEEB66" w14:textId="370D48DD" w:rsidR="008075F8" w:rsidRPr="00280FE9" w:rsidRDefault="00A01942" w:rsidP="00BC1282">
            <w:pPr>
              <w:spacing w:before="60" w:after="60"/>
              <w:rPr>
                <w:color w:val="000D2D"/>
              </w:rPr>
            </w:pPr>
            <w:r>
              <w:rPr>
                <w:color w:val="000D2D"/>
              </w:rPr>
              <w:t xml:space="preserve">  6</w:t>
            </w:r>
            <w:r w:rsidR="008075F8" w:rsidRPr="00280FE9">
              <w:rPr>
                <w:color w:val="000D2D"/>
              </w:rPr>
              <w:t>.</w:t>
            </w:r>
            <w:r>
              <w:rPr>
                <w:color w:val="000D2D"/>
              </w:rPr>
              <w:t>19</w:t>
            </w:r>
            <w:r w:rsidR="008075F8" w:rsidRPr="00280FE9">
              <w:rPr>
                <w:color w:val="000D2D"/>
              </w:rPr>
              <w:t>%</w:t>
            </w:r>
          </w:p>
        </w:tc>
        <w:tc>
          <w:tcPr>
            <w:tcW w:w="1957" w:type="dxa"/>
          </w:tcPr>
          <w:p w14:paraId="51C995D3" w14:textId="3EA3697A" w:rsidR="008075F8" w:rsidRPr="009B32C3" w:rsidRDefault="008075F8" w:rsidP="00BC1282">
            <w:pPr>
              <w:spacing w:before="60" w:after="60"/>
              <w:rPr>
                <w:b/>
                <w:color w:val="000D2D"/>
              </w:rPr>
            </w:pPr>
            <w:r w:rsidRPr="009B32C3">
              <w:rPr>
                <w:color w:val="000D2D"/>
              </w:rPr>
              <w:t>N/A</w:t>
            </w:r>
          </w:p>
        </w:tc>
        <w:tc>
          <w:tcPr>
            <w:tcW w:w="1958" w:type="dxa"/>
          </w:tcPr>
          <w:p w14:paraId="3D859D8A" w14:textId="3D1B8EC2" w:rsidR="008075F8" w:rsidRPr="009B32C3" w:rsidRDefault="008075F8" w:rsidP="00BC1282">
            <w:pPr>
              <w:spacing w:before="60" w:after="60"/>
              <w:rPr>
                <w:b/>
                <w:color w:val="000D2D"/>
              </w:rPr>
            </w:pPr>
            <w:r w:rsidRPr="009B32C3">
              <w:rPr>
                <w:color w:val="000D2D"/>
              </w:rPr>
              <w:t>N/A</w:t>
            </w:r>
          </w:p>
        </w:tc>
        <w:tc>
          <w:tcPr>
            <w:tcW w:w="2039" w:type="dxa"/>
          </w:tcPr>
          <w:p w14:paraId="49F98176" w14:textId="7683B2B7" w:rsidR="008075F8" w:rsidRPr="009B32C3" w:rsidRDefault="008075F8" w:rsidP="00BC1282">
            <w:pPr>
              <w:spacing w:before="60" w:after="60"/>
              <w:rPr>
                <w:b/>
                <w:color w:val="000D2D"/>
              </w:rPr>
            </w:pPr>
            <w:r w:rsidRPr="009B32C3">
              <w:rPr>
                <w:color w:val="000D2D"/>
              </w:rPr>
              <w:t>N/A</w:t>
            </w:r>
          </w:p>
        </w:tc>
      </w:tr>
      <w:tr w:rsidR="009B32C3" w:rsidRPr="009B32C3" w14:paraId="60C438DF" w14:textId="77777777" w:rsidTr="00F233AA">
        <w:trPr>
          <w:trHeight w:val="391"/>
        </w:trPr>
        <w:tc>
          <w:tcPr>
            <w:tcW w:w="3256" w:type="dxa"/>
          </w:tcPr>
          <w:p w14:paraId="06A69604" w14:textId="6723EF5C" w:rsidR="008075F8" w:rsidRPr="009B32C3" w:rsidRDefault="00A01942" w:rsidP="00141C9B">
            <w:pPr>
              <w:spacing w:before="60" w:after="60"/>
              <w:rPr>
                <w:color w:val="000D2D"/>
              </w:rPr>
            </w:pPr>
            <w:r w:rsidRPr="009B32C3">
              <w:rPr>
                <w:color w:val="000D2D"/>
              </w:rPr>
              <w:t>Bank Julius Baer Group</w:t>
            </w:r>
          </w:p>
        </w:tc>
        <w:tc>
          <w:tcPr>
            <w:tcW w:w="2409" w:type="dxa"/>
          </w:tcPr>
          <w:p w14:paraId="3FD5BE7E" w14:textId="2C462051" w:rsidR="008075F8" w:rsidRPr="00280FE9" w:rsidRDefault="00A01942" w:rsidP="00141C9B">
            <w:pPr>
              <w:spacing w:before="60" w:after="60"/>
              <w:rPr>
                <w:color w:val="000D2D"/>
              </w:rPr>
            </w:pPr>
            <w:r>
              <w:rPr>
                <w:color w:val="000D2D"/>
              </w:rPr>
              <w:t xml:space="preserve">  5</w:t>
            </w:r>
            <w:r w:rsidR="008075F8" w:rsidRPr="00280FE9">
              <w:rPr>
                <w:color w:val="000D2D"/>
              </w:rPr>
              <w:t>.</w:t>
            </w:r>
            <w:r>
              <w:rPr>
                <w:color w:val="000D2D"/>
              </w:rPr>
              <w:t>44</w:t>
            </w:r>
            <w:r w:rsidR="008075F8" w:rsidRPr="00280FE9">
              <w:rPr>
                <w:color w:val="000D2D"/>
              </w:rPr>
              <w:t>%</w:t>
            </w:r>
          </w:p>
        </w:tc>
        <w:tc>
          <w:tcPr>
            <w:tcW w:w="2410" w:type="dxa"/>
          </w:tcPr>
          <w:p w14:paraId="05F9B39B" w14:textId="3691508C" w:rsidR="008075F8" w:rsidRPr="00280FE9" w:rsidRDefault="00A01942" w:rsidP="00F233AA">
            <w:pPr>
              <w:spacing w:before="60" w:after="60"/>
              <w:rPr>
                <w:color w:val="000D2D"/>
              </w:rPr>
            </w:pPr>
            <w:r>
              <w:rPr>
                <w:color w:val="000D2D"/>
              </w:rPr>
              <w:t xml:space="preserve">  5</w:t>
            </w:r>
            <w:r w:rsidR="008075F8" w:rsidRPr="00280FE9">
              <w:rPr>
                <w:color w:val="000D2D"/>
              </w:rPr>
              <w:t>.</w:t>
            </w:r>
            <w:r>
              <w:rPr>
                <w:color w:val="000D2D"/>
              </w:rPr>
              <w:t>15</w:t>
            </w:r>
            <w:r w:rsidR="008075F8" w:rsidRPr="00280FE9">
              <w:rPr>
                <w:color w:val="000D2D"/>
              </w:rPr>
              <w:t>%</w:t>
            </w:r>
          </w:p>
        </w:tc>
        <w:tc>
          <w:tcPr>
            <w:tcW w:w="1957" w:type="dxa"/>
          </w:tcPr>
          <w:p w14:paraId="576BEDE4" w14:textId="0EA94995" w:rsidR="008075F8" w:rsidRPr="009B32C3" w:rsidRDefault="008075F8" w:rsidP="00141C9B">
            <w:pPr>
              <w:spacing w:before="60" w:after="60"/>
              <w:rPr>
                <w:b/>
                <w:color w:val="000D2D"/>
              </w:rPr>
            </w:pPr>
            <w:r w:rsidRPr="009B32C3">
              <w:rPr>
                <w:color w:val="000D2D"/>
              </w:rPr>
              <w:t>N/A</w:t>
            </w:r>
          </w:p>
        </w:tc>
        <w:tc>
          <w:tcPr>
            <w:tcW w:w="1958" w:type="dxa"/>
          </w:tcPr>
          <w:p w14:paraId="62922096" w14:textId="20ED2E81" w:rsidR="008075F8" w:rsidRPr="009B32C3" w:rsidRDefault="008075F8" w:rsidP="00141C9B">
            <w:pPr>
              <w:spacing w:before="60" w:after="60"/>
              <w:rPr>
                <w:b/>
                <w:color w:val="000D2D"/>
              </w:rPr>
            </w:pPr>
            <w:r w:rsidRPr="009B32C3">
              <w:rPr>
                <w:color w:val="000D2D"/>
              </w:rPr>
              <w:t>N/A</w:t>
            </w:r>
          </w:p>
        </w:tc>
        <w:tc>
          <w:tcPr>
            <w:tcW w:w="2039" w:type="dxa"/>
          </w:tcPr>
          <w:p w14:paraId="1AF915C0" w14:textId="02DBCA94" w:rsidR="008075F8" w:rsidRPr="009B32C3" w:rsidRDefault="008075F8" w:rsidP="00141C9B">
            <w:pPr>
              <w:spacing w:before="60" w:after="60"/>
              <w:rPr>
                <w:b/>
                <w:color w:val="000D2D"/>
              </w:rPr>
            </w:pPr>
            <w:r w:rsidRPr="009B32C3">
              <w:rPr>
                <w:color w:val="000D2D"/>
              </w:rPr>
              <w:t>N/A</w:t>
            </w:r>
          </w:p>
        </w:tc>
      </w:tr>
    </w:tbl>
    <w:p w14:paraId="62C69FD9" w14:textId="77777777" w:rsidR="00A631EA" w:rsidRPr="009B32C3" w:rsidRDefault="00A631EA" w:rsidP="00A631EA">
      <w:pPr>
        <w:spacing w:after="0"/>
        <w:rPr>
          <w:color w:val="000D2D"/>
          <w:sz w:val="24"/>
          <w:szCs w:val="24"/>
        </w:rPr>
      </w:pPr>
    </w:p>
    <w:p w14:paraId="56B62D95" w14:textId="5E2A9657" w:rsidR="00D03D34" w:rsidRPr="009B32C3" w:rsidRDefault="00A631EA" w:rsidP="00D03D34">
      <w:pPr>
        <w:spacing w:after="0"/>
        <w:rPr>
          <w:color w:val="000D2D"/>
          <w:highlight w:val="yellow"/>
        </w:rPr>
      </w:pPr>
      <w:r w:rsidRPr="009B32C3">
        <w:rPr>
          <w:b/>
          <w:color w:val="000D2D"/>
        </w:rPr>
        <w:t xml:space="preserve">Execution Factors – Equities – Liquidity Band </w:t>
      </w:r>
      <w:r w:rsidR="00BC1282" w:rsidRPr="009B32C3">
        <w:rPr>
          <w:b/>
          <w:color w:val="000D2D"/>
        </w:rPr>
        <w:t>1</w:t>
      </w:r>
      <w:r w:rsidRPr="009B32C3">
        <w:rPr>
          <w:b/>
          <w:color w:val="000D2D"/>
        </w:rPr>
        <w:t xml:space="preserve"> and </w:t>
      </w:r>
      <w:r w:rsidR="00BC1282" w:rsidRPr="009B32C3">
        <w:rPr>
          <w:b/>
          <w:color w:val="000D2D"/>
        </w:rPr>
        <w:t>2</w:t>
      </w:r>
      <w:r w:rsidRPr="009B32C3">
        <w:rPr>
          <w:b/>
          <w:color w:val="000D2D"/>
        </w:rPr>
        <w:t xml:space="preserve"> – ‘</w:t>
      </w:r>
      <w:r w:rsidR="00167C2C" w:rsidRPr="009B32C3">
        <w:rPr>
          <w:b/>
          <w:color w:val="000D2D"/>
        </w:rPr>
        <w:t>Illiquid</w:t>
      </w:r>
      <w:r w:rsidRPr="009B32C3">
        <w:rPr>
          <w:b/>
          <w:color w:val="000D2D"/>
        </w:rPr>
        <w:t xml:space="preserve"> equities’</w:t>
      </w:r>
      <w:r w:rsidRPr="009B32C3">
        <w:rPr>
          <w:b/>
          <w:color w:val="000D2D"/>
          <w:sz w:val="24"/>
          <w:szCs w:val="24"/>
        </w:rPr>
        <w:t xml:space="preserve">: </w:t>
      </w:r>
    </w:p>
    <w:p w14:paraId="58A6425B" w14:textId="2389C6D8" w:rsidR="00C95F40" w:rsidRPr="009B32C3" w:rsidRDefault="00C95F40" w:rsidP="00C95F40">
      <w:pPr>
        <w:pStyle w:val="ListParagraph"/>
        <w:numPr>
          <w:ilvl w:val="0"/>
          <w:numId w:val="20"/>
        </w:numPr>
        <w:spacing w:after="0"/>
        <w:rPr>
          <w:color w:val="000D2D"/>
        </w:rPr>
      </w:pPr>
      <w:r w:rsidRPr="009B32C3">
        <w:rPr>
          <w:color w:val="000D2D"/>
        </w:rPr>
        <w:t>Price</w:t>
      </w:r>
    </w:p>
    <w:p w14:paraId="4AFB3E17" w14:textId="07DA65C4" w:rsidR="00C95F40" w:rsidRPr="009B32C3" w:rsidRDefault="00C95F40" w:rsidP="00C95F40">
      <w:pPr>
        <w:pStyle w:val="ListParagraph"/>
        <w:numPr>
          <w:ilvl w:val="0"/>
          <w:numId w:val="20"/>
        </w:numPr>
        <w:spacing w:after="0"/>
        <w:rPr>
          <w:color w:val="000D2D"/>
        </w:rPr>
      </w:pPr>
      <w:r w:rsidRPr="009B32C3">
        <w:rPr>
          <w:color w:val="000D2D"/>
        </w:rPr>
        <w:t>Costs</w:t>
      </w:r>
    </w:p>
    <w:p w14:paraId="2928D8B9" w14:textId="1A50694D" w:rsidR="005F1A48" w:rsidRPr="009B32C3" w:rsidRDefault="005F1A48" w:rsidP="00C95F40">
      <w:pPr>
        <w:pStyle w:val="ListParagraph"/>
        <w:numPr>
          <w:ilvl w:val="0"/>
          <w:numId w:val="20"/>
        </w:numPr>
        <w:spacing w:after="0"/>
        <w:rPr>
          <w:color w:val="000D2D"/>
        </w:rPr>
      </w:pPr>
      <w:r w:rsidRPr="009B32C3">
        <w:rPr>
          <w:color w:val="000D2D"/>
        </w:rPr>
        <w:t>Market depth -- likelihood of settlement.</w:t>
      </w:r>
    </w:p>
    <w:p w14:paraId="779E1D63" w14:textId="333D44CE" w:rsidR="00C95F40" w:rsidRPr="009B32C3" w:rsidRDefault="00C95F40" w:rsidP="001F31DA">
      <w:pPr>
        <w:pStyle w:val="ListParagraph"/>
        <w:numPr>
          <w:ilvl w:val="0"/>
          <w:numId w:val="20"/>
        </w:numPr>
        <w:spacing w:after="0"/>
        <w:rPr>
          <w:color w:val="000D2D"/>
        </w:rPr>
      </w:pPr>
      <w:r w:rsidRPr="009B32C3">
        <w:rPr>
          <w:color w:val="000D2D"/>
        </w:rPr>
        <w:t>Market impact</w:t>
      </w:r>
      <w:r w:rsidR="001F31DA" w:rsidRPr="009B32C3">
        <w:rPr>
          <w:color w:val="000D2D"/>
        </w:rPr>
        <w:t xml:space="preserve"> </w:t>
      </w:r>
      <w:r w:rsidR="005F1A48" w:rsidRPr="009B32C3">
        <w:rPr>
          <w:color w:val="000D2D"/>
        </w:rPr>
        <w:t>--</w:t>
      </w:r>
      <w:r w:rsidR="001F31DA" w:rsidRPr="009B32C3">
        <w:rPr>
          <w:color w:val="000D2D"/>
        </w:rPr>
        <w:t xml:space="preserve"> </w:t>
      </w:r>
      <w:r w:rsidR="005F1A48" w:rsidRPr="009B32C3">
        <w:rPr>
          <w:color w:val="000D2D"/>
        </w:rPr>
        <w:t>s</w:t>
      </w:r>
      <w:r w:rsidR="001F31DA" w:rsidRPr="009B32C3">
        <w:rPr>
          <w:color w:val="000D2D"/>
        </w:rPr>
        <w:t>ize and nature of the order</w:t>
      </w:r>
    </w:p>
    <w:p w14:paraId="36A30F64" w14:textId="289240C7" w:rsidR="000973CF" w:rsidRPr="009B32C3" w:rsidRDefault="000973CF" w:rsidP="000973CF">
      <w:pPr>
        <w:pStyle w:val="ListParagraph"/>
        <w:numPr>
          <w:ilvl w:val="0"/>
          <w:numId w:val="20"/>
        </w:numPr>
        <w:spacing w:after="0"/>
        <w:rPr>
          <w:color w:val="000D2D"/>
        </w:rPr>
      </w:pPr>
      <w:r w:rsidRPr="009B32C3">
        <w:rPr>
          <w:color w:val="000D2D"/>
        </w:rPr>
        <w:t xml:space="preserve">Other implicit transaction costs </w:t>
      </w:r>
    </w:p>
    <w:p w14:paraId="70BFF1F9" w14:textId="77777777" w:rsidR="005F1A48" w:rsidRPr="009B32C3" w:rsidRDefault="005F1A48" w:rsidP="005F1A48">
      <w:pPr>
        <w:spacing w:after="0"/>
        <w:rPr>
          <w:color w:val="000D2D"/>
          <w:sz w:val="24"/>
          <w:szCs w:val="24"/>
        </w:rPr>
      </w:pPr>
    </w:p>
    <w:p w14:paraId="6442CFCD" w14:textId="1812AF63" w:rsidR="005E1879" w:rsidRDefault="005F1A48" w:rsidP="005F1A48">
      <w:pPr>
        <w:spacing w:after="0"/>
        <w:rPr>
          <w:color w:val="000D2D"/>
        </w:rPr>
      </w:pPr>
      <w:r w:rsidRPr="009B32C3">
        <w:rPr>
          <w:color w:val="000D2D"/>
        </w:rPr>
        <w:t>For less liquid instruments such as these, other execution factors outweigh speed. Market depth must be demonstrable as</w:t>
      </w:r>
      <w:r w:rsidR="006A16A9" w:rsidRPr="009B32C3">
        <w:rPr>
          <w:color w:val="000D2D"/>
        </w:rPr>
        <w:t xml:space="preserve"> must settlement considerations. In practice, this means that execution can take longer as the imperative is to minimise the impact on the market price of any order.  </w:t>
      </w:r>
    </w:p>
    <w:p w14:paraId="1FDF3026" w14:textId="280B3A69" w:rsidR="00425631" w:rsidRDefault="00425631" w:rsidP="005F1A48">
      <w:pPr>
        <w:spacing w:after="0"/>
        <w:rPr>
          <w:color w:val="000D2D"/>
        </w:rPr>
      </w:pPr>
    </w:p>
    <w:p w14:paraId="51CCA00A" w14:textId="332F6948" w:rsidR="00425631" w:rsidRDefault="00425631" w:rsidP="005F1A48">
      <w:pPr>
        <w:spacing w:after="0"/>
        <w:rPr>
          <w:color w:val="000D2D"/>
        </w:rPr>
      </w:pPr>
    </w:p>
    <w:p w14:paraId="3CE6C506" w14:textId="77777777" w:rsidR="00425631" w:rsidRPr="009B32C3" w:rsidRDefault="00425631" w:rsidP="005F1A48">
      <w:pPr>
        <w:spacing w:after="0"/>
        <w:rPr>
          <w:color w:val="000D2D"/>
        </w:rPr>
      </w:pPr>
    </w:p>
    <w:p w14:paraId="722AD75E" w14:textId="77777777" w:rsidR="005E1879" w:rsidRPr="009B32C3" w:rsidRDefault="005E1879" w:rsidP="00D03D34">
      <w:pPr>
        <w:spacing w:after="0"/>
        <w:rPr>
          <w:color w:val="000D2D"/>
          <w:sz w:val="24"/>
          <w:szCs w:val="24"/>
        </w:rPr>
      </w:pPr>
    </w:p>
    <w:tbl>
      <w:tblPr>
        <w:tblStyle w:val="TableGrid3"/>
        <w:tblW w:w="14029" w:type="dxa"/>
        <w:tblLook w:val="04A0" w:firstRow="1" w:lastRow="0" w:firstColumn="1" w:lastColumn="0" w:noHBand="0" w:noVBand="1"/>
      </w:tblPr>
      <w:tblGrid>
        <w:gridCol w:w="3256"/>
        <w:gridCol w:w="2409"/>
        <w:gridCol w:w="2410"/>
        <w:gridCol w:w="1957"/>
        <w:gridCol w:w="1958"/>
        <w:gridCol w:w="2039"/>
      </w:tblGrid>
      <w:tr w:rsidR="008D7590" w:rsidRPr="008D7590" w14:paraId="4982236B" w14:textId="77777777" w:rsidTr="008D7590">
        <w:tc>
          <w:tcPr>
            <w:tcW w:w="3256" w:type="dxa"/>
            <w:shd w:val="clear" w:color="auto" w:fill="000D2D"/>
          </w:tcPr>
          <w:p w14:paraId="25FF8459" w14:textId="77777777" w:rsidR="00D03D34" w:rsidRPr="008D7590" w:rsidRDefault="00D03D34" w:rsidP="00141C9B">
            <w:pPr>
              <w:tabs>
                <w:tab w:val="left" w:pos="419"/>
                <w:tab w:val="left" w:pos="570"/>
              </w:tabs>
              <w:spacing w:before="60" w:after="60"/>
              <w:rPr>
                <w:b/>
                <w:color w:val="ABA9AA"/>
              </w:rPr>
            </w:pPr>
            <w:r w:rsidRPr="008D7590">
              <w:rPr>
                <w:b/>
                <w:color w:val="ABA9AA"/>
              </w:rPr>
              <w:lastRenderedPageBreak/>
              <w:t>Class of Instrument:</w:t>
            </w:r>
            <w:r w:rsidRPr="008D7590">
              <w:rPr>
                <w:b/>
                <w:color w:val="ABA9AA"/>
              </w:rPr>
              <w:tab/>
            </w:r>
          </w:p>
        </w:tc>
        <w:tc>
          <w:tcPr>
            <w:tcW w:w="10773" w:type="dxa"/>
            <w:gridSpan w:val="5"/>
            <w:shd w:val="clear" w:color="auto" w:fill="000D2D"/>
          </w:tcPr>
          <w:p w14:paraId="56850E4A" w14:textId="77777777" w:rsidR="00D03D34" w:rsidRPr="008D7590" w:rsidRDefault="00D03D34" w:rsidP="00D03D34">
            <w:pPr>
              <w:spacing w:before="60" w:after="60"/>
              <w:rPr>
                <w:b/>
                <w:color w:val="ABA9AA"/>
              </w:rPr>
            </w:pPr>
            <w:r w:rsidRPr="008D7590">
              <w:rPr>
                <w:b/>
                <w:color w:val="ABA9AA"/>
              </w:rPr>
              <w:t>(b) Debt Instruments - (i) Bonds</w:t>
            </w:r>
          </w:p>
        </w:tc>
      </w:tr>
      <w:tr w:rsidR="009B32C3" w:rsidRPr="009B32C3" w14:paraId="6A72710E" w14:textId="77777777" w:rsidTr="00141C9B">
        <w:tc>
          <w:tcPr>
            <w:tcW w:w="5665" w:type="dxa"/>
            <w:gridSpan w:val="2"/>
          </w:tcPr>
          <w:p w14:paraId="2095A759" w14:textId="77777777" w:rsidR="00D03D34" w:rsidRPr="009B32C3" w:rsidRDefault="00D03D34" w:rsidP="00141C9B">
            <w:pPr>
              <w:spacing w:before="60" w:after="60"/>
              <w:rPr>
                <w:color w:val="000D2D"/>
              </w:rPr>
            </w:pPr>
            <w:r w:rsidRPr="009B32C3">
              <w:rPr>
                <w:b/>
                <w:color w:val="000D2D"/>
              </w:rPr>
              <w:t>Notification if &lt;1 average trade per business day in the previous year:</w:t>
            </w:r>
          </w:p>
        </w:tc>
        <w:tc>
          <w:tcPr>
            <w:tcW w:w="2410" w:type="dxa"/>
          </w:tcPr>
          <w:p w14:paraId="2841D541" w14:textId="76F3F6F9" w:rsidR="00D03D34" w:rsidRPr="009B32C3" w:rsidRDefault="005E1879" w:rsidP="00141C9B">
            <w:pPr>
              <w:spacing w:before="60" w:after="60"/>
              <w:rPr>
                <w:b/>
                <w:color w:val="000D2D"/>
              </w:rPr>
            </w:pPr>
            <w:r w:rsidRPr="009B32C3">
              <w:rPr>
                <w:b/>
                <w:color w:val="000D2D"/>
              </w:rPr>
              <w:t>N</w:t>
            </w:r>
          </w:p>
        </w:tc>
        <w:tc>
          <w:tcPr>
            <w:tcW w:w="5954" w:type="dxa"/>
            <w:gridSpan w:val="3"/>
          </w:tcPr>
          <w:p w14:paraId="009EE2E1" w14:textId="77777777" w:rsidR="00D03D34" w:rsidRPr="009B32C3" w:rsidRDefault="00D03D34" w:rsidP="00141C9B">
            <w:pPr>
              <w:spacing w:before="60" w:after="60"/>
              <w:rPr>
                <w:b/>
                <w:color w:val="000D2D"/>
              </w:rPr>
            </w:pPr>
          </w:p>
        </w:tc>
      </w:tr>
      <w:tr w:rsidR="009B32C3" w:rsidRPr="009B32C3" w14:paraId="3C9C1C08" w14:textId="77777777" w:rsidTr="00141C9B">
        <w:tc>
          <w:tcPr>
            <w:tcW w:w="3256" w:type="dxa"/>
          </w:tcPr>
          <w:p w14:paraId="43682371" w14:textId="77777777" w:rsidR="00D03D34" w:rsidRPr="009B32C3" w:rsidRDefault="00D03D34" w:rsidP="00141C9B">
            <w:pPr>
              <w:spacing w:before="60" w:after="60"/>
              <w:rPr>
                <w:b/>
                <w:color w:val="000D2D"/>
              </w:rPr>
            </w:pPr>
            <w:r w:rsidRPr="009B32C3">
              <w:rPr>
                <w:b/>
                <w:color w:val="000D2D"/>
              </w:rPr>
              <w:t>Top five execution venues ranked in terms of trading volumes (descending order)</w:t>
            </w:r>
          </w:p>
        </w:tc>
        <w:tc>
          <w:tcPr>
            <w:tcW w:w="2409" w:type="dxa"/>
          </w:tcPr>
          <w:p w14:paraId="0D2486F0" w14:textId="77777777" w:rsidR="00D03D34" w:rsidRPr="009B32C3" w:rsidRDefault="00D03D34" w:rsidP="00141C9B">
            <w:pPr>
              <w:spacing w:before="60" w:after="60"/>
              <w:jc w:val="center"/>
              <w:rPr>
                <w:b/>
                <w:color w:val="000D2D"/>
              </w:rPr>
            </w:pPr>
            <w:r w:rsidRPr="009B32C3">
              <w:rPr>
                <w:b/>
                <w:color w:val="000D2D"/>
              </w:rPr>
              <w:t>Proportion of volume traded as a percentage of total in that class</w:t>
            </w:r>
          </w:p>
        </w:tc>
        <w:tc>
          <w:tcPr>
            <w:tcW w:w="2410" w:type="dxa"/>
          </w:tcPr>
          <w:p w14:paraId="4D595358" w14:textId="77777777" w:rsidR="00D03D34" w:rsidRPr="009B32C3" w:rsidRDefault="00D03D34" w:rsidP="00141C9B">
            <w:pPr>
              <w:spacing w:before="60" w:after="60"/>
              <w:jc w:val="center"/>
              <w:rPr>
                <w:b/>
                <w:color w:val="000D2D"/>
              </w:rPr>
            </w:pPr>
            <w:r w:rsidRPr="009B32C3">
              <w:rPr>
                <w:b/>
                <w:color w:val="000D2D"/>
              </w:rPr>
              <w:t>Proportion of orders executed as percentage of total in that class</w:t>
            </w:r>
          </w:p>
        </w:tc>
        <w:tc>
          <w:tcPr>
            <w:tcW w:w="1957" w:type="dxa"/>
          </w:tcPr>
          <w:p w14:paraId="76DF2C9C" w14:textId="77777777" w:rsidR="00D03D34" w:rsidRPr="009B32C3" w:rsidRDefault="00D03D34" w:rsidP="00141C9B">
            <w:pPr>
              <w:spacing w:before="60" w:after="60"/>
              <w:jc w:val="center"/>
              <w:rPr>
                <w:b/>
                <w:color w:val="000D2D"/>
              </w:rPr>
            </w:pPr>
            <w:r w:rsidRPr="009B32C3">
              <w:rPr>
                <w:b/>
                <w:color w:val="000D2D"/>
              </w:rPr>
              <w:t>Percentage of passive orders</w:t>
            </w:r>
          </w:p>
        </w:tc>
        <w:tc>
          <w:tcPr>
            <w:tcW w:w="1958" w:type="dxa"/>
          </w:tcPr>
          <w:p w14:paraId="6ABF4E1C" w14:textId="77777777" w:rsidR="00D03D34" w:rsidRPr="009B32C3" w:rsidRDefault="00D03D34" w:rsidP="00141C9B">
            <w:pPr>
              <w:spacing w:before="60" w:after="60"/>
              <w:jc w:val="center"/>
              <w:rPr>
                <w:b/>
                <w:color w:val="000D2D"/>
              </w:rPr>
            </w:pPr>
            <w:r w:rsidRPr="009B32C3">
              <w:rPr>
                <w:b/>
                <w:color w:val="000D2D"/>
              </w:rPr>
              <w:t>Percentage of aggressive orders</w:t>
            </w:r>
          </w:p>
        </w:tc>
        <w:tc>
          <w:tcPr>
            <w:tcW w:w="2039" w:type="dxa"/>
          </w:tcPr>
          <w:p w14:paraId="482488AC" w14:textId="77777777" w:rsidR="00D03D34" w:rsidRPr="009B32C3" w:rsidRDefault="00D03D34" w:rsidP="00141C9B">
            <w:pPr>
              <w:spacing w:before="60" w:after="60"/>
              <w:jc w:val="center"/>
              <w:rPr>
                <w:b/>
                <w:color w:val="000D2D"/>
              </w:rPr>
            </w:pPr>
            <w:r w:rsidRPr="009B32C3">
              <w:rPr>
                <w:b/>
                <w:color w:val="000D2D"/>
              </w:rPr>
              <w:t>Percentage of directed orders</w:t>
            </w:r>
          </w:p>
        </w:tc>
      </w:tr>
      <w:tr w:rsidR="009B32C3" w:rsidRPr="009B32C3" w14:paraId="0AE91FFF" w14:textId="77777777" w:rsidTr="00141C9B">
        <w:tc>
          <w:tcPr>
            <w:tcW w:w="3256" w:type="dxa"/>
          </w:tcPr>
          <w:p w14:paraId="4BEC27D0" w14:textId="41653A98" w:rsidR="00C90A76" w:rsidRPr="009B32C3" w:rsidRDefault="00A01942" w:rsidP="00141C9B">
            <w:pPr>
              <w:spacing w:before="60" w:after="60"/>
              <w:rPr>
                <w:color w:val="000D2D"/>
              </w:rPr>
            </w:pPr>
            <w:r>
              <w:rPr>
                <w:color w:val="000D2D"/>
              </w:rPr>
              <w:t>Credo Group</w:t>
            </w:r>
          </w:p>
        </w:tc>
        <w:tc>
          <w:tcPr>
            <w:tcW w:w="2409" w:type="dxa"/>
          </w:tcPr>
          <w:p w14:paraId="3DC02649" w14:textId="140ED83A" w:rsidR="00C90A76" w:rsidRPr="009B32C3" w:rsidRDefault="00A01942" w:rsidP="00141C9B">
            <w:pPr>
              <w:spacing w:before="60" w:after="60"/>
              <w:rPr>
                <w:color w:val="000D2D"/>
              </w:rPr>
            </w:pPr>
            <w:r>
              <w:rPr>
                <w:color w:val="000D2D"/>
              </w:rPr>
              <w:t>6</w:t>
            </w:r>
            <w:r w:rsidR="00F93380">
              <w:rPr>
                <w:color w:val="000D2D"/>
              </w:rPr>
              <w:t>4</w:t>
            </w:r>
            <w:r w:rsidR="00C90A76" w:rsidRPr="009B32C3">
              <w:rPr>
                <w:color w:val="000D2D"/>
              </w:rPr>
              <w:t>.</w:t>
            </w:r>
            <w:r>
              <w:rPr>
                <w:color w:val="000D2D"/>
              </w:rPr>
              <w:t>53</w:t>
            </w:r>
            <w:r w:rsidR="00C90A76" w:rsidRPr="009B32C3">
              <w:rPr>
                <w:color w:val="000D2D"/>
              </w:rPr>
              <w:t>%</w:t>
            </w:r>
          </w:p>
        </w:tc>
        <w:tc>
          <w:tcPr>
            <w:tcW w:w="2410" w:type="dxa"/>
          </w:tcPr>
          <w:p w14:paraId="0F89A28D" w14:textId="212B167B" w:rsidR="00C90A76" w:rsidRPr="009B32C3" w:rsidRDefault="001369F0" w:rsidP="00141C9B">
            <w:pPr>
              <w:spacing w:before="60" w:after="60"/>
              <w:rPr>
                <w:color w:val="000D2D"/>
              </w:rPr>
            </w:pPr>
            <w:r>
              <w:rPr>
                <w:color w:val="000D2D"/>
              </w:rPr>
              <w:t>6</w:t>
            </w:r>
            <w:r w:rsidR="00A01942">
              <w:rPr>
                <w:color w:val="000D2D"/>
              </w:rPr>
              <w:t>1</w:t>
            </w:r>
            <w:r w:rsidR="00C90A76" w:rsidRPr="009B32C3">
              <w:rPr>
                <w:color w:val="000D2D"/>
              </w:rPr>
              <w:t>.</w:t>
            </w:r>
            <w:r w:rsidR="00A01942">
              <w:rPr>
                <w:color w:val="000D2D"/>
              </w:rPr>
              <w:t>64</w:t>
            </w:r>
            <w:r w:rsidR="00C90A76" w:rsidRPr="009B32C3">
              <w:rPr>
                <w:color w:val="000D2D"/>
              </w:rPr>
              <w:t>%</w:t>
            </w:r>
          </w:p>
        </w:tc>
        <w:tc>
          <w:tcPr>
            <w:tcW w:w="1957" w:type="dxa"/>
          </w:tcPr>
          <w:p w14:paraId="2E2DC182" w14:textId="63DE3979" w:rsidR="00C90A76" w:rsidRPr="009B32C3" w:rsidRDefault="00C90A76" w:rsidP="00141C9B">
            <w:pPr>
              <w:spacing w:before="60" w:after="60"/>
              <w:rPr>
                <w:b/>
                <w:color w:val="000D2D"/>
              </w:rPr>
            </w:pPr>
            <w:r w:rsidRPr="009B32C3">
              <w:rPr>
                <w:color w:val="000D2D"/>
              </w:rPr>
              <w:t>N/A</w:t>
            </w:r>
          </w:p>
        </w:tc>
        <w:tc>
          <w:tcPr>
            <w:tcW w:w="1958" w:type="dxa"/>
          </w:tcPr>
          <w:p w14:paraId="2C655A3D" w14:textId="116BFAB2" w:rsidR="00C90A76" w:rsidRPr="009B32C3" w:rsidRDefault="00C90A76" w:rsidP="00141C9B">
            <w:pPr>
              <w:spacing w:before="60" w:after="60"/>
              <w:rPr>
                <w:b/>
                <w:color w:val="000D2D"/>
              </w:rPr>
            </w:pPr>
            <w:r w:rsidRPr="009B32C3">
              <w:rPr>
                <w:color w:val="000D2D"/>
              </w:rPr>
              <w:t>N/A</w:t>
            </w:r>
          </w:p>
        </w:tc>
        <w:tc>
          <w:tcPr>
            <w:tcW w:w="2039" w:type="dxa"/>
          </w:tcPr>
          <w:p w14:paraId="4743B0F9" w14:textId="3CD3D6EC" w:rsidR="00C90A76" w:rsidRPr="009B32C3" w:rsidRDefault="00C90A76" w:rsidP="00141C9B">
            <w:pPr>
              <w:spacing w:before="60" w:after="60"/>
              <w:rPr>
                <w:b/>
                <w:color w:val="000D2D"/>
              </w:rPr>
            </w:pPr>
            <w:r w:rsidRPr="009B32C3">
              <w:rPr>
                <w:color w:val="000D2D"/>
              </w:rPr>
              <w:t>N/A</w:t>
            </w:r>
          </w:p>
        </w:tc>
      </w:tr>
      <w:tr w:rsidR="00A01942" w:rsidRPr="009B32C3" w14:paraId="48D41FCC" w14:textId="77777777" w:rsidTr="00141C9B">
        <w:tc>
          <w:tcPr>
            <w:tcW w:w="3256" w:type="dxa"/>
          </w:tcPr>
          <w:p w14:paraId="2C7D1D74" w14:textId="1416C4F8" w:rsidR="00A01942" w:rsidRPr="009B32C3" w:rsidRDefault="00A01942" w:rsidP="00A01942">
            <w:pPr>
              <w:spacing w:before="60" w:after="60"/>
              <w:rPr>
                <w:color w:val="000D2D"/>
              </w:rPr>
            </w:pPr>
            <w:proofErr w:type="spellStart"/>
            <w:r>
              <w:rPr>
                <w:color w:val="000D2D"/>
              </w:rPr>
              <w:t>Ansbacher</w:t>
            </w:r>
            <w:proofErr w:type="spellEnd"/>
            <w:r>
              <w:rPr>
                <w:color w:val="000D2D"/>
              </w:rPr>
              <w:t xml:space="preserve"> (Bahamas) Ltd.</w:t>
            </w:r>
          </w:p>
        </w:tc>
        <w:tc>
          <w:tcPr>
            <w:tcW w:w="2409" w:type="dxa"/>
          </w:tcPr>
          <w:p w14:paraId="56DFBE3C" w14:textId="7230C495" w:rsidR="00A01942" w:rsidRPr="009B32C3" w:rsidRDefault="00A01942" w:rsidP="00A01942">
            <w:pPr>
              <w:spacing w:before="60" w:after="60"/>
              <w:rPr>
                <w:color w:val="000D2D"/>
              </w:rPr>
            </w:pPr>
            <w:r>
              <w:rPr>
                <w:color w:val="000D2D"/>
              </w:rPr>
              <w:t>18.74</w:t>
            </w:r>
            <w:r w:rsidRPr="009B32C3">
              <w:rPr>
                <w:color w:val="000D2D"/>
              </w:rPr>
              <w:t>%</w:t>
            </w:r>
          </w:p>
        </w:tc>
        <w:tc>
          <w:tcPr>
            <w:tcW w:w="2410" w:type="dxa"/>
          </w:tcPr>
          <w:p w14:paraId="6091EE7E" w14:textId="0F3E46A5" w:rsidR="00A01942" w:rsidRPr="009B32C3" w:rsidRDefault="00A01942" w:rsidP="00A01942">
            <w:pPr>
              <w:spacing w:before="60" w:after="60"/>
              <w:rPr>
                <w:color w:val="000D2D"/>
              </w:rPr>
            </w:pPr>
            <w:r>
              <w:rPr>
                <w:color w:val="000D2D"/>
              </w:rPr>
              <w:t>11</w:t>
            </w:r>
            <w:r w:rsidRPr="009B32C3">
              <w:rPr>
                <w:color w:val="000D2D"/>
              </w:rPr>
              <w:t>.</w:t>
            </w:r>
            <w:r>
              <w:rPr>
                <w:color w:val="000D2D"/>
              </w:rPr>
              <w:t>95</w:t>
            </w:r>
            <w:r w:rsidRPr="009B32C3">
              <w:rPr>
                <w:color w:val="000D2D"/>
              </w:rPr>
              <w:t>%</w:t>
            </w:r>
          </w:p>
        </w:tc>
        <w:tc>
          <w:tcPr>
            <w:tcW w:w="1957" w:type="dxa"/>
          </w:tcPr>
          <w:p w14:paraId="59774ACA" w14:textId="7424E574" w:rsidR="00A01942" w:rsidRPr="009B32C3" w:rsidRDefault="00A01942" w:rsidP="00A01942">
            <w:pPr>
              <w:spacing w:before="60" w:after="60"/>
              <w:rPr>
                <w:b/>
                <w:color w:val="000D2D"/>
              </w:rPr>
            </w:pPr>
            <w:r w:rsidRPr="009B32C3">
              <w:rPr>
                <w:color w:val="000D2D"/>
              </w:rPr>
              <w:t>N/A</w:t>
            </w:r>
          </w:p>
        </w:tc>
        <w:tc>
          <w:tcPr>
            <w:tcW w:w="1958" w:type="dxa"/>
          </w:tcPr>
          <w:p w14:paraId="507CFA41" w14:textId="3D824DB4" w:rsidR="00A01942" w:rsidRPr="009B32C3" w:rsidRDefault="00A01942" w:rsidP="00A01942">
            <w:pPr>
              <w:spacing w:before="60" w:after="60"/>
              <w:rPr>
                <w:b/>
                <w:color w:val="000D2D"/>
              </w:rPr>
            </w:pPr>
            <w:r w:rsidRPr="009B32C3">
              <w:rPr>
                <w:color w:val="000D2D"/>
              </w:rPr>
              <w:t>N/A</w:t>
            </w:r>
          </w:p>
        </w:tc>
        <w:tc>
          <w:tcPr>
            <w:tcW w:w="2039" w:type="dxa"/>
          </w:tcPr>
          <w:p w14:paraId="65996567" w14:textId="5268AC38" w:rsidR="00A01942" w:rsidRPr="009B32C3" w:rsidRDefault="00A01942" w:rsidP="00A01942">
            <w:pPr>
              <w:spacing w:before="60" w:after="60"/>
              <w:rPr>
                <w:b/>
                <w:color w:val="000D2D"/>
              </w:rPr>
            </w:pPr>
            <w:r w:rsidRPr="009B32C3">
              <w:rPr>
                <w:color w:val="000D2D"/>
              </w:rPr>
              <w:t>N/A</w:t>
            </w:r>
          </w:p>
        </w:tc>
      </w:tr>
      <w:tr w:rsidR="00A01942" w:rsidRPr="009B32C3" w14:paraId="563E5D2A" w14:textId="77777777" w:rsidTr="00141C9B">
        <w:tc>
          <w:tcPr>
            <w:tcW w:w="3256" w:type="dxa"/>
          </w:tcPr>
          <w:p w14:paraId="0CD4A6DC" w14:textId="1FC6DD68" w:rsidR="00A01942" w:rsidRPr="009B32C3" w:rsidRDefault="00A01942" w:rsidP="00A01942">
            <w:pPr>
              <w:spacing w:before="60" w:after="60"/>
              <w:rPr>
                <w:color w:val="000D2D"/>
              </w:rPr>
            </w:pPr>
            <w:r>
              <w:rPr>
                <w:color w:val="000D2D"/>
              </w:rPr>
              <w:t xml:space="preserve">Bank </w:t>
            </w:r>
            <w:r w:rsidRPr="009B32C3">
              <w:rPr>
                <w:color w:val="000D2D"/>
              </w:rPr>
              <w:t>Julius Baer Group</w:t>
            </w:r>
          </w:p>
        </w:tc>
        <w:tc>
          <w:tcPr>
            <w:tcW w:w="2409" w:type="dxa"/>
          </w:tcPr>
          <w:p w14:paraId="5511FFEA" w14:textId="6A735E75" w:rsidR="00A01942" w:rsidRPr="009B32C3" w:rsidRDefault="00A01942" w:rsidP="00A01942">
            <w:pPr>
              <w:spacing w:before="60" w:after="60"/>
              <w:rPr>
                <w:color w:val="000D2D"/>
              </w:rPr>
            </w:pPr>
            <w:r>
              <w:rPr>
                <w:color w:val="000D2D"/>
              </w:rPr>
              <w:t xml:space="preserve">  8</w:t>
            </w:r>
            <w:r w:rsidRPr="009B32C3">
              <w:rPr>
                <w:color w:val="000D2D"/>
              </w:rPr>
              <w:t>.</w:t>
            </w:r>
            <w:r>
              <w:rPr>
                <w:color w:val="000D2D"/>
              </w:rPr>
              <w:t>67</w:t>
            </w:r>
            <w:r w:rsidRPr="009B32C3">
              <w:rPr>
                <w:color w:val="000D2D"/>
              </w:rPr>
              <w:t>%</w:t>
            </w:r>
          </w:p>
        </w:tc>
        <w:tc>
          <w:tcPr>
            <w:tcW w:w="2410" w:type="dxa"/>
          </w:tcPr>
          <w:p w14:paraId="2E93A47A" w14:textId="7C6485A1" w:rsidR="00A01942" w:rsidRPr="009B32C3" w:rsidRDefault="00A01942" w:rsidP="00A01942">
            <w:pPr>
              <w:spacing w:before="60" w:after="60"/>
              <w:rPr>
                <w:color w:val="000D2D"/>
              </w:rPr>
            </w:pPr>
            <w:r>
              <w:rPr>
                <w:color w:val="000D2D"/>
              </w:rPr>
              <w:t>18</w:t>
            </w:r>
            <w:r w:rsidRPr="009B32C3">
              <w:rPr>
                <w:color w:val="000D2D"/>
              </w:rPr>
              <w:t>.</w:t>
            </w:r>
            <w:r>
              <w:rPr>
                <w:color w:val="000D2D"/>
              </w:rPr>
              <w:t>24</w:t>
            </w:r>
            <w:r w:rsidRPr="009B32C3">
              <w:rPr>
                <w:color w:val="000D2D"/>
              </w:rPr>
              <w:t>%</w:t>
            </w:r>
          </w:p>
        </w:tc>
        <w:tc>
          <w:tcPr>
            <w:tcW w:w="1957" w:type="dxa"/>
          </w:tcPr>
          <w:p w14:paraId="7119A872" w14:textId="67921599" w:rsidR="00A01942" w:rsidRPr="009B32C3" w:rsidRDefault="00A01942" w:rsidP="00A01942">
            <w:pPr>
              <w:spacing w:before="60" w:after="60"/>
              <w:rPr>
                <w:b/>
                <w:color w:val="000D2D"/>
              </w:rPr>
            </w:pPr>
            <w:r w:rsidRPr="009B32C3">
              <w:rPr>
                <w:color w:val="000D2D"/>
              </w:rPr>
              <w:t>N/A</w:t>
            </w:r>
          </w:p>
        </w:tc>
        <w:tc>
          <w:tcPr>
            <w:tcW w:w="1958" w:type="dxa"/>
          </w:tcPr>
          <w:p w14:paraId="00600C3D" w14:textId="20C4FBC6" w:rsidR="00A01942" w:rsidRPr="009B32C3" w:rsidRDefault="00A01942" w:rsidP="00A01942">
            <w:pPr>
              <w:spacing w:before="60" w:after="60"/>
              <w:rPr>
                <w:b/>
                <w:color w:val="000D2D"/>
              </w:rPr>
            </w:pPr>
            <w:r w:rsidRPr="009B32C3">
              <w:rPr>
                <w:color w:val="000D2D"/>
              </w:rPr>
              <w:t>N/A</w:t>
            </w:r>
          </w:p>
        </w:tc>
        <w:tc>
          <w:tcPr>
            <w:tcW w:w="2039" w:type="dxa"/>
          </w:tcPr>
          <w:p w14:paraId="7FC22625" w14:textId="336FFC7A" w:rsidR="00A01942" w:rsidRPr="009B32C3" w:rsidRDefault="00A01942" w:rsidP="00A01942">
            <w:pPr>
              <w:spacing w:before="60" w:after="60"/>
              <w:rPr>
                <w:b/>
                <w:color w:val="000D2D"/>
              </w:rPr>
            </w:pPr>
            <w:r w:rsidRPr="009B32C3">
              <w:rPr>
                <w:color w:val="000D2D"/>
              </w:rPr>
              <w:t>N/A</w:t>
            </w:r>
          </w:p>
        </w:tc>
      </w:tr>
      <w:tr w:rsidR="00A01942" w:rsidRPr="009B32C3" w14:paraId="04F4A030" w14:textId="77777777" w:rsidTr="00141C9B">
        <w:tc>
          <w:tcPr>
            <w:tcW w:w="3256" w:type="dxa"/>
          </w:tcPr>
          <w:p w14:paraId="318908EC" w14:textId="38EDBB79" w:rsidR="00A01942" w:rsidRPr="009B32C3" w:rsidRDefault="00A01942" w:rsidP="00A01942">
            <w:pPr>
              <w:spacing w:before="60" w:after="60"/>
              <w:rPr>
                <w:color w:val="000D2D"/>
              </w:rPr>
            </w:pPr>
            <w:r w:rsidRPr="009B32C3">
              <w:rPr>
                <w:color w:val="000D2D"/>
              </w:rPr>
              <w:t>KBL Luxembourg</w:t>
            </w:r>
          </w:p>
        </w:tc>
        <w:tc>
          <w:tcPr>
            <w:tcW w:w="2409" w:type="dxa"/>
          </w:tcPr>
          <w:p w14:paraId="71281874" w14:textId="2B45C14D" w:rsidR="00A01942" w:rsidRPr="009B32C3" w:rsidRDefault="00972D21" w:rsidP="00A01942">
            <w:pPr>
              <w:spacing w:before="60" w:after="60"/>
              <w:rPr>
                <w:color w:val="000D2D"/>
              </w:rPr>
            </w:pPr>
            <w:r>
              <w:rPr>
                <w:color w:val="000D2D"/>
              </w:rPr>
              <w:t xml:space="preserve">  </w:t>
            </w:r>
            <w:r w:rsidR="00A01942" w:rsidRPr="009B32C3">
              <w:rPr>
                <w:color w:val="000D2D"/>
              </w:rPr>
              <w:t>3.</w:t>
            </w:r>
            <w:r w:rsidR="00A01942">
              <w:rPr>
                <w:color w:val="000D2D"/>
              </w:rPr>
              <w:t>90</w:t>
            </w:r>
            <w:r w:rsidR="00A01942" w:rsidRPr="009B32C3">
              <w:rPr>
                <w:color w:val="000D2D"/>
              </w:rPr>
              <w:t>%</w:t>
            </w:r>
          </w:p>
        </w:tc>
        <w:tc>
          <w:tcPr>
            <w:tcW w:w="2410" w:type="dxa"/>
          </w:tcPr>
          <w:p w14:paraId="2A3F085D" w14:textId="457048B2" w:rsidR="00A01942" w:rsidRPr="009B32C3" w:rsidRDefault="00A01942" w:rsidP="00A01942">
            <w:pPr>
              <w:spacing w:before="60" w:after="60"/>
              <w:rPr>
                <w:color w:val="000D2D"/>
              </w:rPr>
            </w:pPr>
            <w:r>
              <w:rPr>
                <w:color w:val="000D2D"/>
              </w:rPr>
              <w:t xml:space="preserve">  3</w:t>
            </w:r>
            <w:r w:rsidRPr="009B32C3">
              <w:rPr>
                <w:color w:val="000D2D"/>
              </w:rPr>
              <w:t>.</w:t>
            </w:r>
            <w:r>
              <w:rPr>
                <w:color w:val="000D2D"/>
              </w:rPr>
              <w:t>77</w:t>
            </w:r>
            <w:r w:rsidRPr="009B32C3">
              <w:rPr>
                <w:color w:val="000D2D"/>
              </w:rPr>
              <w:t>%</w:t>
            </w:r>
          </w:p>
        </w:tc>
        <w:tc>
          <w:tcPr>
            <w:tcW w:w="1957" w:type="dxa"/>
          </w:tcPr>
          <w:p w14:paraId="4F3092C1" w14:textId="26142757" w:rsidR="00A01942" w:rsidRPr="009B32C3" w:rsidRDefault="00A01942" w:rsidP="00A01942">
            <w:pPr>
              <w:spacing w:before="60" w:after="60"/>
              <w:rPr>
                <w:b/>
                <w:color w:val="000D2D"/>
              </w:rPr>
            </w:pPr>
            <w:r w:rsidRPr="009B32C3">
              <w:rPr>
                <w:color w:val="000D2D"/>
              </w:rPr>
              <w:t>N/A</w:t>
            </w:r>
          </w:p>
        </w:tc>
        <w:tc>
          <w:tcPr>
            <w:tcW w:w="1958" w:type="dxa"/>
          </w:tcPr>
          <w:p w14:paraId="157ACE15" w14:textId="265FD06E" w:rsidR="00A01942" w:rsidRPr="009B32C3" w:rsidRDefault="00A01942" w:rsidP="00A01942">
            <w:pPr>
              <w:spacing w:before="60" w:after="60"/>
              <w:rPr>
                <w:b/>
                <w:color w:val="000D2D"/>
              </w:rPr>
            </w:pPr>
            <w:r w:rsidRPr="009B32C3">
              <w:rPr>
                <w:color w:val="000D2D"/>
              </w:rPr>
              <w:t>N/A</w:t>
            </w:r>
          </w:p>
        </w:tc>
        <w:tc>
          <w:tcPr>
            <w:tcW w:w="2039" w:type="dxa"/>
          </w:tcPr>
          <w:p w14:paraId="2340B88C" w14:textId="5B251333" w:rsidR="00A01942" w:rsidRPr="009B32C3" w:rsidRDefault="00A01942" w:rsidP="00A01942">
            <w:pPr>
              <w:spacing w:before="60" w:after="60"/>
              <w:rPr>
                <w:b/>
                <w:color w:val="000D2D"/>
              </w:rPr>
            </w:pPr>
            <w:r w:rsidRPr="009B32C3">
              <w:rPr>
                <w:color w:val="000D2D"/>
              </w:rPr>
              <w:t>N/A</w:t>
            </w:r>
          </w:p>
        </w:tc>
      </w:tr>
      <w:tr w:rsidR="00A01942" w:rsidRPr="009B32C3" w14:paraId="6CD8240C" w14:textId="77777777" w:rsidTr="00141C9B">
        <w:tc>
          <w:tcPr>
            <w:tcW w:w="3256" w:type="dxa"/>
          </w:tcPr>
          <w:p w14:paraId="051F6A64" w14:textId="35071A5D" w:rsidR="00A01942" w:rsidRPr="009B32C3" w:rsidRDefault="00A01942" w:rsidP="00A01942">
            <w:pPr>
              <w:spacing w:before="60" w:after="60"/>
              <w:rPr>
                <w:color w:val="000D2D"/>
              </w:rPr>
            </w:pPr>
            <w:r>
              <w:rPr>
                <w:color w:val="000D2D"/>
              </w:rPr>
              <w:t xml:space="preserve">Edmund de Rothschild (Geneva) </w:t>
            </w:r>
          </w:p>
        </w:tc>
        <w:tc>
          <w:tcPr>
            <w:tcW w:w="2409" w:type="dxa"/>
          </w:tcPr>
          <w:p w14:paraId="21413A59" w14:textId="349B3896" w:rsidR="00A01942" w:rsidRPr="009B32C3" w:rsidRDefault="00A01942" w:rsidP="00A01942">
            <w:pPr>
              <w:spacing w:before="60" w:after="60"/>
              <w:rPr>
                <w:color w:val="000D2D"/>
              </w:rPr>
            </w:pPr>
            <w:r>
              <w:rPr>
                <w:color w:val="000D2D"/>
              </w:rPr>
              <w:t xml:space="preserve">  3.61%</w:t>
            </w:r>
          </w:p>
        </w:tc>
        <w:tc>
          <w:tcPr>
            <w:tcW w:w="2410" w:type="dxa"/>
          </w:tcPr>
          <w:p w14:paraId="5E682EC3" w14:textId="41D6975A" w:rsidR="00A01942" w:rsidRDefault="00A01942" w:rsidP="00A01942">
            <w:pPr>
              <w:spacing w:before="60" w:after="60"/>
              <w:rPr>
                <w:color w:val="000D2D"/>
              </w:rPr>
            </w:pPr>
            <w:r>
              <w:rPr>
                <w:color w:val="000D2D"/>
              </w:rPr>
              <w:t xml:space="preserve">  3.14%</w:t>
            </w:r>
          </w:p>
        </w:tc>
        <w:tc>
          <w:tcPr>
            <w:tcW w:w="1957" w:type="dxa"/>
          </w:tcPr>
          <w:p w14:paraId="5DD6E526" w14:textId="15AD66D8" w:rsidR="00A01942" w:rsidRPr="009B32C3" w:rsidRDefault="00A01942" w:rsidP="00A01942">
            <w:pPr>
              <w:spacing w:before="60" w:after="60"/>
              <w:rPr>
                <w:color w:val="000D2D"/>
              </w:rPr>
            </w:pPr>
            <w:r w:rsidRPr="009B32C3">
              <w:rPr>
                <w:color w:val="000D2D"/>
              </w:rPr>
              <w:t>N/A</w:t>
            </w:r>
          </w:p>
        </w:tc>
        <w:tc>
          <w:tcPr>
            <w:tcW w:w="1958" w:type="dxa"/>
          </w:tcPr>
          <w:p w14:paraId="1821DBBE" w14:textId="384F21BE" w:rsidR="00A01942" w:rsidRPr="009B32C3" w:rsidRDefault="00A01942" w:rsidP="00A01942">
            <w:pPr>
              <w:spacing w:before="60" w:after="60"/>
              <w:rPr>
                <w:color w:val="000D2D"/>
              </w:rPr>
            </w:pPr>
            <w:r w:rsidRPr="009B32C3">
              <w:rPr>
                <w:color w:val="000D2D"/>
              </w:rPr>
              <w:t>N/A</w:t>
            </w:r>
          </w:p>
        </w:tc>
        <w:tc>
          <w:tcPr>
            <w:tcW w:w="2039" w:type="dxa"/>
          </w:tcPr>
          <w:p w14:paraId="65F7C1F1" w14:textId="4ECE557B" w:rsidR="00A01942" w:rsidRPr="009B32C3" w:rsidRDefault="00A01942" w:rsidP="00A01942">
            <w:pPr>
              <w:spacing w:before="60" w:after="60"/>
              <w:rPr>
                <w:color w:val="000D2D"/>
              </w:rPr>
            </w:pPr>
            <w:r w:rsidRPr="009B32C3">
              <w:rPr>
                <w:color w:val="000D2D"/>
              </w:rPr>
              <w:t>N/A</w:t>
            </w:r>
          </w:p>
        </w:tc>
      </w:tr>
    </w:tbl>
    <w:p w14:paraId="53B5F90F" w14:textId="77777777" w:rsidR="00D03D34" w:rsidRPr="009B32C3" w:rsidRDefault="00D03D34" w:rsidP="00D03D34">
      <w:pPr>
        <w:spacing w:after="0" w:line="240" w:lineRule="auto"/>
        <w:ind w:left="567" w:hanging="567"/>
        <w:rPr>
          <w:color w:val="000D2D"/>
        </w:rPr>
      </w:pPr>
    </w:p>
    <w:p w14:paraId="59AC5C85" w14:textId="478B81A6" w:rsidR="00D03D34" w:rsidRPr="009B32C3" w:rsidRDefault="00D03D34" w:rsidP="000973CF">
      <w:pPr>
        <w:spacing w:after="0"/>
        <w:rPr>
          <w:b/>
          <w:color w:val="000D2D"/>
        </w:rPr>
      </w:pPr>
      <w:r w:rsidRPr="009B32C3">
        <w:rPr>
          <w:b/>
          <w:color w:val="000D2D"/>
        </w:rPr>
        <w:t>Execution Factors – Debt Instruments – Bonds</w:t>
      </w:r>
      <w:r w:rsidR="000973CF" w:rsidRPr="009B32C3">
        <w:rPr>
          <w:b/>
          <w:color w:val="000D2D"/>
        </w:rPr>
        <w:t>:</w:t>
      </w:r>
    </w:p>
    <w:p w14:paraId="38A25B0B" w14:textId="46979841" w:rsidR="000973CF" w:rsidRPr="009B32C3" w:rsidRDefault="000973CF" w:rsidP="000973CF">
      <w:pPr>
        <w:pStyle w:val="ListParagraph"/>
        <w:numPr>
          <w:ilvl w:val="0"/>
          <w:numId w:val="21"/>
        </w:numPr>
        <w:spacing w:after="0"/>
        <w:rPr>
          <w:color w:val="000D2D"/>
          <w:szCs w:val="20"/>
        </w:rPr>
      </w:pPr>
      <w:r w:rsidRPr="009B32C3">
        <w:rPr>
          <w:color w:val="000D2D"/>
          <w:szCs w:val="20"/>
        </w:rPr>
        <w:t xml:space="preserve">Price </w:t>
      </w:r>
    </w:p>
    <w:p w14:paraId="107A8045" w14:textId="0D23A501" w:rsidR="000973CF" w:rsidRPr="009B32C3" w:rsidRDefault="000973CF" w:rsidP="000973CF">
      <w:pPr>
        <w:pStyle w:val="ListParagraph"/>
        <w:numPr>
          <w:ilvl w:val="0"/>
          <w:numId w:val="21"/>
        </w:numPr>
        <w:spacing w:after="0"/>
        <w:rPr>
          <w:color w:val="000D2D"/>
          <w:szCs w:val="20"/>
        </w:rPr>
      </w:pPr>
      <w:r w:rsidRPr="009B32C3">
        <w:rPr>
          <w:color w:val="000D2D"/>
          <w:szCs w:val="20"/>
        </w:rPr>
        <w:t xml:space="preserve">Costs </w:t>
      </w:r>
    </w:p>
    <w:p w14:paraId="40B8D080" w14:textId="16A44BB5" w:rsidR="000973CF" w:rsidRPr="009B32C3" w:rsidRDefault="000973CF" w:rsidP="000973CF">
      <w:pPr>
        <w:pStyle w:val="ListParagraph"/>
        <w:numPr>
          <w:ilvl w:val="0"/>
          <w:numId w:val="21"/>
        </w:numPr>
        <w:spacing w:after="0"/>
        <w:rPr>
          <w:color w:val="000D2D"/>
          <w:szCs w:val="20"/>
        </w:rPr>
      </w:pPr>
      <w:r w:rsidRPr="009B32C3">
        <w:rPr>
          <w:color w:val="000D2D"/>
          <w:szCs w:val="20"/>
        </w:rPr>
        <w:t>Speed</w:t>
      </w:r>
    </w:p>
    <w:p w14:paraId="2B7DDD6C" w14:textId="37F91F91" w:rsidR="000973CF" w:rsidRPr="009B32C3" w:rsidRDefault="000973CF" w:rsidP="000973CF">
      <w:pPr>
        <w:pStyle w:val="ListParagraph"/>
        <w:numPr>
          <w:ilvl w:val="0"/>
          <w:numId w:val="21"/>
        </w:numPr>
        <w:spacing w:after="0"/>
        <w:rPr>
          <w:color w:val="000D2D"/>
          <w:szCs w:val="20"/>
        </w:rPr>
      </w:pPr>
      <w:r w:rsidRPr="009B32C3">
        <w:rPr>
          <w:color w:val="000D2D"/>
          <w:szCs w:val="20"/>
        </w:rPr>
        <w:t>Market impact</w:t>
      </w:r>
    </w:p>
    <w:p w14:paraId="00D07DEB" w14:textId="77777777" w:rsidR="003F12F5" w:rsidRPr="009B32C3" w:rsidRDefault="003F12F5" w:rsidP="006A16A9">
      <w:pPr>
        <w:rPr>
          <w:color w:val="000D2D"/>
        </w:rPr>
      </w:pPr>
    </w:p>
    <w:p w14:paraId="200E32A7" w14:textId="4CE4E9D4" w:rsidR="00D03D34" w:rsidRPr="009B32C3" w:rsidRDefault="00195E27" w:rsidP="006A16A9">
      <w:pPr>
        <w:rPr>
          <w:color w:val="000D2D"/>
        </w:rPr>
      </w:pPr>
      <w:r w:rsidRPr="009B32C3">
        <w:rPr>
          <w:color w:val="000D2D"/>
        </w:rPr>
        <w:t>Sovereign debt instruments are typically more liquid and thus our execution approach resembles that for the most liquid equities – where price, cost and speed are the most important execution factors. Corporate debt instruments are typically traded off-exc</w:t>
      </w:r>
      <w:r w:rsidR="00E113FE" w:rsidRPr="009B32C3">
        <w:rPr>
          <w:color w:val="000D2D"/>
        </w:rPr>
        <w:t>hange and are thus less liquid. O</w:t>
      </w:r>
      <w:r w:rsidRPr="009B32C3">
        <w:rPr>
          <w:color w:val="000D2D"/>
        </w:rPr>
        <w:t xml:space="preserve">ur execution approach resembles that of less liquid equities, where the emphasis is on </w:t>
      </w:r>
      <w:r w:rsidR="00410260" w:rsidRPr="009B32C3">
        <w:rPr>
          <w:color w:val="000D2D"/>
        </w:rPr>
        <w:t xml:space="preserve">the size and nature of the order and the market impact. </w:t>
      </w:r>
    </w:p>
    <w:p w14:paraId="5BB9FEF7" w14:textId="77777777" w:rsidR="00D03D34" w:rsidRPr="009B32C3" w:rsidRDefault="00D03D34" w:rsidP="00D03D34">
      <w:pPr>
        <w:pStyle w:val="ListParagraph"/>
        <w:ind w:left="567"/>
        <w:rPr>
          <w:color w:val="000D2D"/>
          <w:highlight w:val="yellow"/>
        </w:rPr>
      </w:pPr>
    </w:p>
    <w:p w14:paraId="097742D1" w14:textId="02F7FAB5" w:rsidR="00D03D34" w:rsidRDefault="00D03D34" w:rsidP="00D03D34">
      <w:pPr>
        <w:pStyle w:val="ListParagraph"/>
        <w:ind w:left="567"/>
        <w:rPr>
          <w:color w:val="000D2D"/>
          <w:highlight w:val="yellow"/>
        </w:rPr>
      </w:pPr>
    </w:p>
    <w:p w14:paraId="7E599D49" w14:textId="020D16E5" w:rsidR="00425631" w:rsidRDefault="00425631" w:rsidP="00D03D34">
      <w:pPr>
        <w:pStyle w:val="ListParagraph"/>
        <w:ind w:left="567"/>
        <w:rPr>
          <w:color w:val="000D2D"/>
          <w:highlight w:val="yellow"/>
        </w:rPr>
      </w:pPr>
    </w:p>
    <w:p w14:paraId="4B33EF8F" w14:textId="77777777" w:rsidR="00425631" w:rsidRPr="009B32C3" w:rsidRDefault="00425631" w:rsidP="00D03D34">
      <w:pPr>
        <w:pStyle w:val="ListParagraph"/>
        <w:ind w:left="567"/>
        <w:rPr>
          <w:color w:val="000D2D"/>
          <w:highlight w:val="yellow"/>
        </w:rPr>
      </w:pPr>
    </w:p>
    <w:tbl>
      <w:tblPr>
        <w:tblStyle w:val="TableGrid7"/>
        <w:tblW w:w="14029" w:type="dxa"/>
        <w:tblLook w:val="04A0" w:firstRow="1" w:lastRow="0" w:firstColumn="1" w:lastColumn="0" w:noHBand="0" w:noVBand="1"/>
      </w:tblPr>
      <w:tblGrid>
        <w:gridCol w:w="3256"/>
        <w:gridCol w:w="2409"/>
        <w:gridCol w:w="2410"/>
        <w:gridCol w:w="1957"/>
        <w:gridCol w:w="1958"/>
        <w:gridCol w:w="2039"/>
      </w:tblGrid>
      <w:tr w:rsidR="008D7590" w:rsidRPr="008D7590" w14:paraId="5D7BF0F7" w14:textId="77777777" w:rsidTr="008D7590">
        <w:tc>
          <w:tcPr>
            <w:tcW w:w="3256" w:type="dxa"/>
            <w:shd w:val="clear" w:color="auto" w:fill="000D2D"/>
          </w:tcPr>
          <w:p w14:paraId="2E7F1E93" w14:textId="77777777" w:rsidR="00421F4F" w:rsidRPr="008D7590" w:rsidRDefault="00421F4F" w:rsidP="00421F4F">
            <w:pPr>
              <w:tabs>
                <w:tab w:val="left" w:pos="419"/>
                <w:tab w:val="left" w:pos="570"/>
              </w:tabs>
              <w:spacing w:before="60" w:after="60"/>
              <w:rPr>
                <w:b/>
                <w:color w:val="ABA9AA"/>
              </w:rPr>
            </w:pPr>
            <w:r w:rsidRPr="008D7590">
              <w:rPr>
                <w:b/>
                <w:color w:val="ABA9AA"/>
              </w:rPr>
              <w:lastRenderedPageBreak/>
              <w:t>Class of Instrument:</w:t>
            </w:r>
            <w:r w:rsidRPr="008D7590">
              <w:rPr>
                <w:b/>
                <w:color w:val="ABA9AA"/>
              </w:rPr>
              <w:tab/>
            </w:r>
          </w:p>
        </w:tc>
        <w:tc>
          <w:tcPr>
            <w:tcW w:w="10773" w:type="dxa"/>
            <w:gridSpan w:val="5"/>
            <w:shd w:val="clear" w:color="auto" w:fill="000D2D"/>
          </w:tcPr>
          <w:p w14:paraId="5DC4AF0A" w14:textId="05BF0106" w:rsidR="00421F4F" w:rsidRPr="008D7590" w:rsidRDefault="00421F4F" w:rsidP="001B2750">
            <w:pPr>
              <w:spacing w:before="60" w:after="60"/>
              <w:rPr>
                <w:b/>
                <w:color w:val="ABA9AA"/>
              </w:rPr>
            </w:pPr>
            <w:r w:rsidRPr="008D7590">
              <w:rPr>
                <w:b/>
                <w:color w:val="ABA9AA"/>
              </w:rPr>
              <w:t>(</w:t>
            </w:r>
            <w:r w:rsidR="001B2750" w:rsidRPr="008D7590">
              <w:rPr>
                <w:b/>
                <w:color w:val="ABA9AA"/>
              </w:rPr>
              <w:t>c</w:t>
            </w:r>
            <w:r w:rsidRPr="008D7590">
              <w:rPr>
                <w:b/>
                <w:color w:val="ABA9AA"/>
              </w:rPr>
              <w:t>) Exchange Traded Products (Exchange traded funds, exchange traded notes and exchange traded commodities)</w:t>
            </w:r>
          </w:p>
        </w:tc>
      </w:tr>
      <w:tr w:rsidR="009B32C3" w:rsidRPr="009B32C3" w14:paraId="443AD54D" w14:textId="77777777" w:rsidTr="00C90A76">
        <w:tc>
          <w:tcPr>
            <w:tcW w:w="5665" w:type="dxa"/>
            <w:gridSpan w:val="2"/>
          </w:tcPr>
          <w:p w14:paraId="76D827DE" w14:textId="77777777" w:rsidR="00421F4F" w:rsidRPr="009B32C3" w:rsidRDefault="00421F4F" w:rsidP="00421F4F">
            <w:pPr>
              <w:spacing w:before="60" w:after="60"/>
              <w:rPr>
                <w:color w:val="000D2D"/>
              </w:rPr>
            </w:pPr>
            <w:r w:rsidRPr="009B32C3">
              <w:rPr>
                <w:b/>
                <w:color w:val="000D2D"/>
              </w:rPr>
              <w:t>Notification if &lt;1 average trade per business day in the previous year</w:t>
            </w:r>
          </w:p>
        </w:tc>
        <w:tc>
          <w:tcPr>
            <w:tcW w:w="2410" w:type="dxa"/>
          </w:tcPr>
          <w:p w14:paraId="5D7E5E51" w14:textId="77777777" w:rsidR="00421F4F" w:rsidRPr="009B32C3" w:rsidRDefault="00421F4F" w:rsidP="00421F4F">
            <w:pPr>
              <w:spacing w:before="60" w:after="60"/>
              <w:rPr>
                <w:b/>
                <w:color w:val="000D2D"/>
              </w:rPr>
            </w:pPr>
            <w:r w:rsidRPr="009B32C3">
              <w:rPr>
                <w:b/>
                <w:color w:val="000D2D"/>
              </w:rPr>
              <w:t>N</w:t>
            </w:r>
          </w:p>
        </w:tc>
        <w:tc>
          <w:tcPr>
            <w:tcW w:w="3915" w:type="dxa"/>
            <w:gridSpan w:val="2"/>
          </w:tcPr>
          <w:p w14:paraId="53F52E34" w14:textId="77777777" w:rsidR="00421F4F" w:rsidRPr="009B32C3" w:rsidRDefault="00421F4F" w:rsidP="00421F4F">
            <w:pPr>
              <w:spacing w:before="60" w:after="60"/>
              <w:rPr>
                <w:color w:val="000D2D"/>
              </w:rPr>
            </w:pPr>
          </w:p>
        </w:tc>
        <w:tc>
          <w:tcPr>
            <w:tcW w:w="2039" w:type="dxa"/>
          </w:tcPr>
          <w:p w14:paraId="7FFA667D" w14:textId="77777777" w:rsidR="00421F4F" w:rsidRPr="009B32C3" w:rsidRDefault="00421F4F" w:rsidP="00421F4F">
            <w:pPr>
              <w:spacing w:before="60" w:after="60"/>
              <w:rPr>
                <w:b/>
                <w:color w:val="000D2D"/>
              </w:rPr>
            </w:pPr>
          </w:p>
        </w:tc>
      </w:tr>
      <w:tr w:rsidR="009B32C3" w:rsidRPr="009B32C3" w14:paraId="46689AA5" w14:textId="77777777" w:rsidTr="00C90A76">
        <w:tc>
          <w:tcPr>
            <w:tcW w:w="3256" w:type="dxa"/>
          </w:tcPr>
          <w:p w14:paraId="2015C99C" w14:textId="77777777" w:rsidR="00421F4F" w:rsidRPr="009B32C3" w:rsidRDefault="00421F4F" w:rsidP="00421F4F">
            <w:pPr>
              <w:spacing w:before="60" w:after="60"/>
              <w:rPr>
                <w:b/>
                <w:color w:val="000D2D"/>
              </w:rPr>
            </w:pPr>
            <w:r w:rsidRPr="009B32C3">
              <w:rPr>
                <w:b/>
                <w:color w:val="000D2D"/>
              </w:rPr>
              <w:t>Top five execution venues ranked in terms of trading volumes (descending order)</w:t>
            </w:r>
          </w:p>
        </w:tc>
        <w:tc>
          <w:tcPr>
            <w:tcW w:w="2409" w:type="dxa"/>
          </w:tcPr>
          <w:p w14:paraId="7EE428F4" w14:textId="77777777" w:rsidR="00421F4F" w:rsidRPr="009B32C3" w:rsidRDefault="00421F4F" w:rsidP="00421F4F">
            <w:pPr>
              <w:spacing w:before="60" w:after="60"/>
              <w:rPr>
                <w:b/>
                <w:color w:val="000D2D"/>
              </w:rPr>
            </w:pPr>
            <w:r w:rsidRPr="009B32C3">
              <w:rPr>
                <w:b/>
                <w:color w:val="000D2D"/>
              </w:rPr>
              <w:t>Proportion of volume traded as a percentage of total in that class</w:t>
            </w:r>
          </w:p>
        </w:tc>
        <w:tc>
          <w:tcPr>
            <w:tcW w:w="2410" w:type="dxa"/>
          </w:tcPr>
          <w:p w14:paraId="12041D31" w14:textId="77777777" w:rsidR="00421F4F" w:rsidRPr="009B32C3" w:rsidRDefault="00421F4F" w:rsidP="00421F4F">
            <w:pPr>
              <w:spacing w:before="60" w:after="60"/>
              <w:rPr>
                <w:b/>
                <w:color w:val="000D2D"/>
              </w:rPr>
            </w:pPr>
            <w:r w:rsidRPr="009B32C3">
              <w:rPr>
                <w:b/>
                <w:color w:val="000D2D"/>
              </w:rPr>
              <w:t>Proportion of orders executed as percentage of total in that class</w:t>
            </w:r>
          </w:p>
        </w:tc>
        <w:tc>
          <w:tcPr>
            <w:tcW w:w="1957" w:type="dxa"/>
          </w:tcPr>
          <w:p w14:paraId="42E0A0B7" w14:textId="77777777" w:rsidR="00421F4F" w:rsidRPr="009B32C3" w:rsidRDefault="00421F4F" w:rsidP="00421F4F">
            <w:pPr>
              <w:spacing w:before="60" w:after="60"/>
              <w:rPr>
                <w:b/>
                <w:color w:val="000D2D"/>
              </w:rPr>
            </w:pPr>
            <w:r w:rsidRPr="009B32C3">
              <w:rPr>
                <w:b/>
                <w:color w:val="000D2D"/>
              </w:rPr>
              <w:t>Percentage of passive orders</w:t>
            </w:r>
          </w:p>
        </w:tc>
        <w:tc>
          <w:tcPr>
            <w:tcW w:w="1958" w:type="dxa"/>
          </w:tcPr>
          <w:p w14:paraId="3E8263FF" w14:textId="77777777" w:rsidR="00421F4F" w:rsidRPr="009B32C3" w:rsidRDefault="00421F4F" w:rsidP="00421F4F">
            <w:pPr>
              <w:spacing w:before="60" w:after="60"/>
              <w:rPr>
                <w:b/>
                <w:color w:val="000D2D"/>
              </w:rPr>
            </w:pPr>
            <w:r w:rsidRPr="009B32C3">
              <w:rPr>
                <w:b/>
                <w:color w:val="000D2D"/>
              </w:rPr>
              <w:t>Percentage of aggressive orders</w:t>
            </w:r>
          </w:p>
        </w:tc>
        <w:tc>
          <w:tcPr>
            <w:tcW w:w="2039" w:type="dxa"/>
          </w:tcPr>
          <w:p w14:paraId="2B430D79" w14:textId="77777777" w:rsidR="00421F4F" w:rsidRPr="009B32C3" w:rsidRDefault="00421F4F" w:rsidP="00421F4F">
            <w:pPr>
              <w:spacing w:before="60" w:after="60"/>
              <w:rPr>
                <w:b/>
                <w:color w:val="000D2D"/>
              </w:rPr>
            </w:pPr>
            <w:r w:rsidRPr="009B32C3">
              <w:rPr>
                <w:b/>
                <w:color w:val="000D2D"/>
              </w:rPr>
              <w:t>Percentage of directed orders</w:t>
            </w:r>
          </w:p>
        </w:tc>
      </w:tr>
      <w:tr w:rsidR="009B32C3" w:rsidRPr="009B32C3" w14:paraId="313F8842" w14:textId="77777777" w:rsidTr="00C90A76">
        <w:tc>
          <w:tcPr>
            <w:tcW w:w="3256" w:type="dxa"/>
          </w:tcPr>
          <w:p w14:paraId="360194EB" w14:textId="23218DEE" w:rsidR="00C90A76" w:rsidRPr="009B32C3" w:rsidRDefault="007930C3" w:rsidP="00421F4F">
            <w:pPr>
              <w:spacing w:before="60" w:after="60"/>
              <w:rPr>
                <w:color w:val="000D2D"/>
              </w:rPr>
            </w:pPr>
            <w:r>
              <w:rPr>
                <w:color w:val="000D2D"/>
              </w:rPr>
              <w:t>Credo Group</w:t>
            </w:r>
          </w:p>
        </w:tc>
        <w:tc>
          <w:tcPr>
            <w:tcW w:w="2409" w:type="dxa"/>
          </w:tcPr>
          <w:p w14:paraId="75BAC134" w14:textId="20DACD26" w:rsidR="00C90A76" w:rsidRPr="009D52C0" w:rsidRDefault="007930C3" w:rsidP="00421F4F">
            <w:pPr>
              <w:spacing w:before="60" w:after="60"/>
              <w:rPr>
                <w:color w:val="000D2D"/>
              </w:rPr>
            </w:pPr>
            <w:r>
              <w:rPr>
                <w:color w:val="000D2D"/>
              </w:rPr>
              <w:t>7</w:t>
            </w:r>
            <w:r w:rsidR="009D52C0" w:rsidRPr="009D52C0">
              <w:rPr>
                <w:color w:val="000D2D"/>
              </w:rPr>
              <w:t>1</w:t>
            </w:r>
            <w:r w:rsidR="00C90A76" w:rsidRPr="009D52C0">
              <w:rPr>
                <w:color w:val="000D2D"/>
              </w:rPr>
              <w:t>.</w:t>
            </w:r>
            <w:r>
              <w:rPr>
                <w:color w:val="000D2D"/>
              </w:rPr>
              <w:t>3</w:t>
            </w:r>
            <w:r w:rsidR="001E63E0">
              <w:rPr>
                <w:color w:val="000D2D"/>
              </w:rPr>
              <w:t>2</w:t>
            </w:r>
            <w:r w:rsidR="00C90A76" w:rsidRPr="009D52C0">
              <w:rPr>
                <w:color w:val="000D2D"/>
              </w:rPr>
              <w:t>%</w:t>
            </w:r>
          </w:p>
        </w:tc>
        <w:tc>
          <w:tcPr>
            <w:tcW w:w="2410" w:type="dxa"/>
          </w:tcPr>
          <w:p w14:paraId="1892CCD2" w14:textId="2F65856C" w:rsidR="00C90A76" w:rsidRPr="009D52C0" w:rsidRDefault="007930C3" w:rsidP="00421F4F">
            <w:pPr>
              <w:spacing w:before="60" w:after="60"/>
              <w:rPr>
                <w:color w:val="000D2D"/>
              </w:rPr>
            </w:pPr>
            <w:r>
              <w:rPr>
                <w:color w:val="000D2D"/>
              </w:rPr>
              <w:t>62</w:t>
            </w:r>
            <w:r w:rsidR="00C90A76" w:rsidRPr="009D52C0">
              <w:rPr>
                <w:color w:val="000D2D"/>
              </w:rPr>
              <w:t>.</w:t>
            </w:r>
            <w:r>
              <w:rPr>
                <w:color w:val="000D2D"/>
              </w:rPr>
              <w:t>80</w:t>
            </w:r>
            <w:r w:rsidR="00C90A76" w:rsidRPr="009D52C0">
              <w:rPr>
                <w:color w:val="000D2D"/>
              </w:rPr>
              <w:t>%</w:t>
            </w:r>
          </w:p>
        </w:tc>
        <w:tc>
          <w:tcPr>
            <w:tcW w:w="1957" w:type="dxa"/>
          </w:tcPr>
          <w:p w14:paraId="52C8618A" w14:textId="4C10710B" w:rsidR="00C90A76" w:rsidRPr="009B32C3" w:rsidRDefault="00C90A76" w:rsidP="00421F4F">
            <w:pPr>
              <w:spacing w:before="60" w:after="60"/>
              <w:rPr>
                <w:b/>
                <w:color w:val="000D2D"/>
              </w:rPr>
            </w:pPr>
            <w:r w:rsidRPr="009B32C3">
              <w:rPr>
                <w:color w:val="000D2D"/>
              </w:rPr>
              <w:t>N/A</w:t>
            </w:r>
          </w:p>
        </w:tc>
        <w:tc>
          <w:tcPr>
            <w:tcW w:w="1958" w:type="dxa"/>
          </w:tcPr>
          <w:p w14:paraId="6C52CF62" w14:textId="442D420F" w:rsidR="00C90A76" w:rsidRPr="009B32C3" w:rsidRDefault="00C90A76" w:rsidP="00421F4F">
            <w:pPr>
              <w:spacing w:before="60" w:after="60"/>
              <w:rPr>
                <w:b/>
                <w:color w:val="000D2D"/>
              </w:rPr>
            </w:pPr>
            <w:r w:rsidRPr="009B32C3">
              <w:rPr>
                <w:color w:val="000D2D"/>
              </w:rPr>
              <w:t>N/A</w:t>
            </w:r>
          </w:p>
        </w:tc>
        <w:tc>
          <w:tcPr>
            <w:tcW w:w="2039" w:type="dxa"/>
          </w:tcPr>
          <w:p w14:paraId="3FEAE427" w14:textId="174C0415" w:rsidR="00C90A76" w:rsidRPr="009B32C3" w:rsidRDefault="00C90A76" w:rsidP="00421F4F">
            <w:pPr>
              <w:spacing w:before="60" w:after="60"/>
              <w:rPr>
                <w:b/>
                <w:color w:val="000D2D"/>
              </w:rPr>
            </w:pPr>
            <w:r w:rsidRPr="009B32C3">
              <w:rPr>
                <w:color w:val="000D2D"/>
              </w:rPr>
              <w:t>N/A</w:t>
            </w:r>
          </w:p>
        </w:tc>
      </w:tr>
      <w:tr w:rsidR="007930C3" w:rsidRPr="009B32C3" w14:paraId="23F7E4A2" w14:textId="77777777" w:rsidTr="00C90A76">
        <w:tc>
          <w:tcPr>
            <w:tcW w:w="3256" w:type="dxa"/>
          </w:tcPr>
          <w:p w14:paraId="6D5B0884" w14:textId="6E32BF30" w:rsidR="007930C3" w:rsidRPr="009B32C3" w:rsidRDefault="007930C3" w:rsidP="007930C3">
            <w:pPr>
              <w:spacing w:before="60" w:after="60"/>
              <w:rPr>
                <w:color w:val="000D2D"/>
              </w:rPr>
            </w:pPr>
            <w:r w:rsidRPr="009B32C3">
              <w:rPr>
                <w:color w:val="000D2D"/>
              </w:rPr>
              <w:t>KBL Luxembourg</w:t>
            </w:r>
          </w:p>
        </w:tc>
        <w:tc>
          <w:tcPr>
            <w:tcW w:w="2409" w:type="dxa"/>
          </w:tcPr>
          <w:p w14:paraId="5862A72A" w14:textId="05C9611F" w:rsidR="007930C3" w:rsidRPr="009D52C0" w:rsidRDefault="007930C3" w:rsidP="007930C3">
            <w:pPr>
              <w:spacing w:before="60" w:after="60"/>
              <w:rPr>
                <w:color w:val="000D2D"/>
              </w:rPr>
            </w:pPr>
            <w:r>
              <w:rPr>
                <w:color w:val="000D2D"/>
              </w:rPr>
              <w:t>16</w:t>
            </w:r>
            <w:r w:rsidRPr="009D52C0">
              <w:rPr>
                <w:color w:val="000D2D"/>
              </w:rPr>
              <w:t>.</w:t>
            </w:r>
            <w:r>
              <w:rPr>
                <w:color w:val="000D2D"/>
              </w:rPr>
              <w:t>41</w:t>
            </w:r>
            <w:r w:rsidRPr="009D52C0">
              <w:rPr>
                <w:color w:val="000D2D"/>
              </w:rPr>
              <w:t>%</w:t>
            </w:r>
          </w:p>
        </w:tc>
        <w:tc>
          <w:tcPr>
            <w:tcW w:w="2410" w:type="dxa"/>
          </w:tcPr>
          <w:p w14:paraId="5BB3CFCC" w14:textId="3C857B76" w:rsidR="007930C3" w:rsidRPr="009D52C0" w:rsidRDefault="007930C3" w:rsidP="007930C3">
            <w:pPr>
              <w:spacing w:before="60" w:after="60"/>
              <w:rPr>
                <w:color w:val="000D2D"/>
              </w:rPr>
            </w:pPr>
            <w:r>
              <w:rPr>
                <w:color w:val="000D2D"/>
              </w:rPr>
              <w:t xml:space="preserve">  9</w:t>
            </w:r>
            <w:r w:rsidRPr="009D52C0">
              <w:rPr>
                <w:color w:val="000D2D"/>
              </w:rPr>
              <w:t>.</w:t>
            </w:r>
            <w:r>
              <w:rPr>
                <w:color w:val="000D2D"/>
              </w:rPr>
              <w:t>18</w:t>
            </w:r>
            <w:r w:rsidRPr="009D52C0">
              <w:rPr>
                <w:color w:val="000D2D"/>
              </w:rPr>
              <w:t>%</w:t>
            </w:r>
          </w:p>
        </w:tc>
        <w:tc>
          <w:tcPr>
            <w:tcW w:w="1957" w:type="dxa"/>
          </w:tcPr>
          <w:p w14:paraId="1C37A146" w14:textId="5A4549CE" w:rsidR="007930C3" w:rsidRPr="009B32C3" w:rsidRDefault="007930C3" w:rsidP="007930C3">
            <w:pPr>
              <w:spacing w:before="60" w:after="60"/>
              <w:rPr>
                <w:b/>
                <w:color w:val="000D2D"/>
              </w:rPr>
            </w:pPr>
            <w:r w:rsidRPr="009B32C3">
              <w:rPr>
                <w:color w:val="000D2D"/>
              </w:rPr>
              <w:t>N/A</w:t>
            </w:r>
          </w:p>
        </w:tc>
        <w:tc>
          <w:tcPr>
            <w:tcW w:w="1958" w:type="dxa"/>
          </w:tcPr>
          <w:p w14:paraId="1D32BDF1" w14:textId="2F2D5C2C" w:rsidR="007930C3" w:rsidRPr="009B32C3" w:rsidRDefault="007930C3" w:rsidP="007930C3">
            <w:pPr>
              <w:spacing w:before="60" w:after="60"/>
              <w:rPr>
                <w:b/>
                <w:color w:val="000D2D"/>
              </w:rPr>
            </w:pPr>
            <w:r w:rsidRPr="009B32C3">
              <w:rPr>
                <w:color w:val="000D2D"/>
              </w:rPr>
              <w:t>N/A</w:t>
            </w:r>
          </w:p>
        </w:tc>
        <w:tc>
          <w:tcPr>
            <w:tcW w:w="2039" w:type="dxa"/>
          </w:tcPr>
          <w:p w14:paraId="3EAD9347" w14:textId="7A35D2E1" w:rsidR="007930C3" w:rsidRPr="009B32C3" w:rsidRDefault="007930C3" w:rsidP="007930C3">
            <w:pPr>
              <w:spacing w:before="60" w:after="60"/>
              <w:rPr>
                <w:b/>
                <w:color w:val="000D2D"/>
              </w:rPr>
            </w:pPr>
            <w:r w:rsidRPr="009B32C3">
              <w:rPr>
                <w:color w:val="000D2D"/>
              </w:rPr>
              <w:t>N/A</w:t>
            </w:r>
          </w:p>
        </w:tc>
      </w:tr>
      <w:tr w:rsidR="007930C3" w:rsidRPr="009B32C3" w14:paraId="1674C411" w14:textId="77777777" w:rsidTr="00C90A76">
        <w:tc>
          <w:tcPr>
            <w:tcW w:w="3256" w:type="dxa"/>
          </w:tcPr>
          <w:p w14:paraId="780AEC85" w14:textId="2EF1529E" w:rsidR="007930C3" w:rsidRPr="009B32C3" w:rsidRDefault="007930C3" w:rsidP="007930C3">
            <w:pPr>
              <w:spacing w:before="60" w:after="60"/>
              <w:rPr>
                <w:color w:val="000D2D"/>
              </w:rPr>
            </w:pPr>
            <w:proofErr w:type="spellStart"/>
            <w:r>
              <w:rPr>
                <w:color w:val="000D2D"/>
              </w:rPr>
              <w:t>Ansbacher</w:t>
            </w:r>
            <w:proofErr w:type="spellEnd"/>
            <w:r>
              <w:rPr>
                <w:color w:val="000D2D"/>
              </w:rPr>
              <w:t xml:space="preserve"> (Bahamas) Ltd.</w:t>
            </w:r>
          </w:p>
        </w:tc>
        <w:tc>
          <w:tcPr>
            <w:tcW w:w="2409" w:type="dxa"/>
          </w:tcPr>
          <w:p w14:paraId="5620AA11" w14:textId="31F87910" w:rsidR="007930C3" w:rsidRPr="009D52C0" w:rsidRDefault="007930C3" w:rsidP="007930C3">
            <w:pPr>
              <w:spacing w:before="60" w:after="60"/>
              <w:rPr>
                <w:color w:val="000D2D"/>
              </w:rPr>
            </w:pPr>
            <w:r>
              <w:rPr>
                <w:color w:val="000D2D"/>
              </w:rPr>
              <w:t xml:space="preserve">  4</w:t>
            </w:r>
            <w:r w:rsidRPr="009D52C0">
              <w:rPr>
                <w:color w:val="000D2D"/>
              </w:rPr>
              <w:t>.</w:t>
            </w:r>
            <w:r>
              <w:rPr>
                <w:color w:val="000D2D"/>
              </w:rPr>
              <w:t>43</w:t>
            </w:r>
            <w:r w:rsidRPr="009D52C0">
              <w:rPr>
                <w:color w:val="000D2D"/>
              </w:rPr>
              <w:t>%</w:t>
            </w:r>
          </w:p>
        </w:tc>
        <w:tc>
          <w:tcPr>
            <w:tcW w:w="2410" w:type="dxa"/>
          </w:tcPr>
          <w:p w14:paraId="3E2942D7" w14:textId="56DFBD62" w:rsidR="007930C3" w:rsidRPr="009D52C0" w:rsidRDefault="007930C3" w:rsidP="007930C3">
            <w:pPr>
              <w:spacing w:before="60" w:after="60"/>
              <w:rPr>
                <w:color w:val="000D2D"/>
              </w:rPr>
            </w:pPr>
            <w:r>
              <w:rPr>
                <w:color w:val="000D2D"/>
              </w:rPr>
              <w:t xml:space="preserve">  1.45</w:t>
            </w:r>
            <w:r w:rsidRPr="009D52C0">
              <w:rPr>
                <w:color w:val="000D2D"/>
              </w:rPr>
              <w:t>%</w:t>
            </w:r>
          </w:p>
        </w:tc>
        <w:tc>
          <w:tcPr>
            <w:tcW w:w="1957" w:type="dxa"/>
          </w:tcPr>
          <w:p w14:paraId="4FF604D3" w14:textId="7DE80C34" w:rsidR="007930C3" w:rsidRPr="009B32C3" w:rsidRDefault="007930C3" w:rsidP="007930C3">
            <w:pPr>
              <w:spacing w:before="60" w:after="60"/>
              <w:rPr>
                <w:b/>
                <w:color w:val="000D2D"/>
              </w:rPr>
            </w:pPr>
            <w:r w:rsidRPr="009B32C3">
              <w:rPr>
                <w:color w:val="000D2D"/>
              </w:rPr>
              <w:t>N/A</w:t>
            </w:r>
          </w:p>
        </w:tc>
        <w:tc>
          <w:tcPr>
            <w:tcW w:w="1958" w:type="dxa"/>
          </w:tcPr>
          <w:p w14:paraId="2C2400E0" w14:textId="4A291A81" w:rsidR="007930C3" w:rsidRPr="009B32C3" w:rsidRDefault="007930C3" w:rsidP="007930C3">
            <w:pPr>
              <w:spacing w:before="60" w:after="60"/>
              <w:rPr>
                <w:b/>
                <w:color w:val="000D2D"/>
              </w:rPr>
            </w:pPr>
            <w:r w:rsidRPr="009B32C3">
              <w:rPr>
                <w:color w:val="000D2D"/>
              </w:rPr>
              <w:t>N/A</w:t>
            </w:r>
          </w:p>
        </w:tc>
        <w:tc>
          <w:tcPr>
            <w:tcW w:w="2039" w:type="dxa"/>
          </w:tcPr>
          <w:p w14:paraId="7C424C44" w14:textId="25EAAB32" w:rsidR="007930C3" w:rsidRPr="009B32C3" w:rsidRDefault="007930C3" w:rsidP="007930C3">
            <w:pPr>
              <w:spacing w:before="60" w:after="60"/>
              <w:rPr>
                <w:b/>
                <w:color w:val="000D2D"/>
              </w:rPr>
            </w:pPr>
            <w:r w:rsidRPr="009B32C3">
              <w:rPr>
                <w:color w:val="000D2D"/>
              </w:rPr>
              <w:t>N/A</w:t>
            </w:r>
          </w:p>
        </w:tc>
      </w:tr>
      <w:tr w:rsidR="007930C3" w:rsidRPr="009B32C3" w14:paraId="3A9B9FAA" w14:textId="77777777" w:rsidTr="00C90A76">
        <w:tc>
          <w:tcPr>
            <w:tcW w:w="3256" w:type="dxa"/>
          </w:tcPr>
          <w:p w14:paraId="1892814B" w14:textId="75A561C4" w:rsidR="007930C3" w:rsidRPr="009B32C3" w:rsidRDefault="007930C3" w:rsidP="007930C3">
            <w:pPr>
              <w:spacing w:before="60" w:after="60"/>
              <w:rPr>
                <w:color w:val="000D2D"/>
              </w:rPr>
            </w:pPr>
            <w:r w:rsidRPr="009B32C3">
              <w:rPr>
                <w:color w:val="000D2D"/>
              </w:rPr>
              <w:t>Bank of Julius Baer Group</w:t>
            </w:r>
          </w:p>
        </w:tc>
        <w:tc>
          <w:tcPr>
            <w:tcW w:w="2409" w:type="dxa"/>
          </w:tcPr>
          <w:p w14:paraId="4776C7CD" w14:textId="51E36B50" w:rsidR="007930C3" w:rsidRPr="009D52C0" w:rsidRDefault="007930C3" w:rsidP="007930C3">
            <w:pPr>
              <w:spacing w:before="60" w:after="60"/>
              <w:rPr>
                <w:color w:val="000D2D"/>
              </w:rPr>
            </w:pPr>
            <w:r>
              <w:rPr>
                <w:color w:val="000D2D"/>
              </w:rPr>
              <w:t xml:space="preserve">  3</w:t>
            </w:r>
            <w:r w:rsidRPr="009D52C0">
              <w:rPr>
                <w:color w:val="000D2D"/>
              </w:rPr>
              <w:t>.</w:t>
            </w:r>
            <w:r>
              <w:rPr>
                <w:color w:val="000D2D"/>
              </w:rPr>
              <w:t>91</w:t>
            </w:r>
            <w:r w:rsidRPr="009D52C0">
              <w:rPr>
                <w:color w:val="000D2D"/>
              </w:rPr>
              <w:t>%</w:t>
            </w:r>
          </w:p>
        </w:tc>
        <w:tc>
          <w:tcPr>
            <w:tcW w:w="2410" w:type="dxa"/>
          </w:tcPr>
          <w:p w14:paraId="32DBEE19" w14:textId="136767E8" w:rsidR="007930C3" w:rsidRPr="009D52C0" w:rsidRDefault="007930C3" w:rsidP="007930C3">
            <w:pPr>
              <w:spacing w:before="60" w:after="60"/>
              <w:rPr>
                <w:color w:val="000D2D"/>
              </w:rPr>
            </w:pPr>
            <w:r>
              <w:rPr>
                <w:color w:val="000D2D"/>
              </w:rPr>
              <w:t>1</w:t>
            </w:r>
            <w:r w:rsidRPr="009D52C0">
              <w:rPr>
                <w:color w:val="000D2D"/>
              </w:rPr>
              <w:t>0.</w:t>
            </w:r>
            <w:r>
              <w:rPr>
                <w:color w:val="000D2D"/>
              </w:rPr>
              <w:t>14</w:t>
            </w:r>
            <w:r w:rsidRPr="009D52C0">
              <w:rPr>
                <w:color w:val="000D2D"/>
              </w:rPr>
              <w:t>%</w:t>
            </w:r>
          </w:p>
        </w:tc>
        <w:tc>
          <w:tcPr>
            <w:tcW w:w="1957" w:type="dxa"/>
          </w:tcPr>
          <w:p w14:paraId="3A49FAC4" w14:textId="36B658F5" w:rsidR="007930C3" w:rsidRPr="009B32C3" w:rsidRDefault="007930C3" w:rsidP="007930C3">
            <w:pPr>
              <w:spacing w:before="60" w:after="60"/>
              <w:rPr>
                <w:b/>
                <w:color w:val="000D2D"/>
              </w:rPr>
            </w:pPr>
            <w:r w:rsidRPr="009B32C3">
              <w:rPr>
                <w:color w:val="000D2D"/>
              </w:rPr>
              <w:t>N/A</w:t>
            </w:r>
          </w:p>
        </w:tc>
        <w:tc>
          <w:tcPr>
            <w:tcW w:w="1958" w:type="dxa"/>
          </w:tcPr>
          <w:p w14:paraId="43260832" w14:textId="0C7F86E6" w:rsidR="007930C3" w:rsidRPr="009B32C3" w:rsidRDefault="007930C3" w:rsidP="007930C3">
            <w:pPr>
              <w:spacing w:before="60" w:after="60"/>
              <w:rPr>
                <w:b/>
                <w:color w:val="000D2D"/>
              </w:rPr>
            </w:pPr>
            <w:r w:rsidRPr="009B32C3">
              <w:rPr>
                <w:color w:val="000D2D"/>
              </w:rPr>
              <w:t>N/A</w:t>
            </w:r>
          </w:p>
        </w:tc>
        <w:tc>
          <w:tcPr>
            <w:tcW w:w="2039" w:type="dxa"/>
          </w:tcPr>
          <w:p w14:paraId="25153B96" w14:textId="1366DB82" w:rsidR="007930C3" w:rsidRPr="009B32C3" w:rsidRDefault="007930C3" w:rsidP="007930C3">
            <w:pPr>
              <w:spacing w:before="60" w:after="60"/>
              <w:rPr>
                <w:b/>
                <w:color w:val="000D2D"/>
              </w:rPr>
            </w:pPr>
            <w:r w:rsidRPr="009B32C3">
              <w:rPr>
                <w:color w:val="000D2D"/>
              </w:rPr>
              <w:t>N/A</w:t>
            </w:r>
          </w:p>
        </w:tc>
      </w:tr>
      <w:tr w:rsidR="007930C3" w:rsidRPr="009B32C3" w14:paraId="76F9BE59" w14:textId="77777777" w:rsidTr="00C90A76">
        <w:tc>
          <w:tcPr>
            <w:tcW w:w="3256" w:type="dxa"/>
          </w:tcPr>
          <w:p w14:paraId="7F49231B" w14:textId="619F4BFC" w:rsidR="007930C3" w:rsidRPr="009B32C3" w:rsidRDefault="007930C3" w:rsidP="007930C3">
            <w:pPr>
              <w:spacing w:before="60" w:after="60"/>
              <w:rPr>
                <w:color w:val="000D2D"/>
              </w:rPr>
            </w:pPr>
            <w:r>
              <w:rPr>
                <w:color w:val="000D2D"/>
              </w:rPr>
              <w:t>Jefferies</w:t>
            </w:r>
          </w:p>
        </w:tc>
        <w:tc>
          <w:tcPr>
            <w:tcW w:w="2409" w:type="dxa"/>
          </w:tcPr>
          <w:p w14:paraId="33D4C7A8" w14:textId="6450A060" w:rsidR="007930C3" w:rsidRPr="009D52C0" w:rsidRDefault="007930C3" w:rsidP="007930C3">
            <w:pPr>
              <w:spacing w:before="60" w:after="60"/>
              <w:rPr>
                <w:color w:val="000D2D"/>
              </w:rPr>
            </w:pPr>
            <w:r>
              <w:rPr>
                <w:color w:val="000D2D"/>
              </w:rPr>
              <w:t xml:space="preserve">  1</w:t>
            </w:r>
            <w:r w:rsidRPr="009D52C0">
              <w:rPr>
                <w:color w:val="000D2D"/>
              </w:rPr>
              <w:t>.</w:t>
            </w:r>
            <w:r>
              <w:rPr>
                <w:color w:val="000D2D"/>
              </w:rPr>
              <w:t>96</w:t>
            </w:r>
            <w:r w:rsidRPr="009D52C0">
              <w:rPr>
                <w:color w:val="000D2D"/>
              </w:rPr>
              <w:t>%</w:t>
            </w:r>
          </w:p>
        </w:tc>
        <w:tc>
          <w:tcPr>
            <w:tcW w:w="2410" w:type="dxa"/>
          </w:tcPr>
          <w:p w14:paraId="04FC53D3" w14:textId="7428E464" w:rsidR="007930C3" w:rsidRPr="009D52C0" w:rsidRDefault="007930C3" w:rsidP="007930C3">
            <w:pPr>
              <w:spacing w:before="60" w:after="60"/>
              <w:rPr>
                <w:color w:val="000D2D"/>
              </w:rPr>
            </w:pPr>
            <w:r w:rsidRPr="009D52C0">
              <w:rPr>
                <w:color w:val="000D2D"/>
              </w:rPr>
              <w:t>1</w:t>
            </w:r>
            <w:r>
              <w:rPr>
                <w:color w:val="000D2D"/>
              </w:rPr>
              <w:t>4</w:t>
            </w:r>
            <w:r w:rsidRPr="009D52C0">
              <w:rPr>
                <w:color w:val="000D2D"/>
              </w:rPr>
              <w:t>.</w:t>
            </w:r>
            <w:r>
              <w:rPr>
                <w:color w:val="000D2D"/>
              </w:rPr>
              <w:t>49</w:t>
            </w:r>
            <w:r w:rsidRPr="009D52C0">
              <w:rPr>
                <w:color w:val="000D2D"/>
              </w:rPr>
              <w:t>%</w:t>
            </w:r>
          </w:p>
        </w:tc>
        <w:tc>
          <w:tcPr>
            <w:tcW w:w="1957" w:type="dxa"/>
          </w:tcPr>
          <w:p w14:paraId="5F286652" w14:textId="6BFFB54F" w:rsidR="007930C3" w:rsidRPr="009B32C3" w:rsidRDefault="007930C3" w:rsidP="007930C3">
            <w:pPr>
              <w:spacing w:before="60" w:after="60"/>
              <w:rPr>
                <w:b/>
                <w:color w:val="000D2D"/>
              </w:rPr>
            </w:pPr>
            <w:r w:rsidRPr="009B32C3">
              <w:rPr>
                <w:color w:val="000D2D"/>
              </w:rPr>
              <w:t>N/A</w:t>
            </w:r>
          </w:p>
        </w:tc>
        <w:tc>
          <w:tcPr>
            <w:tcW w:w="1958" w:type="dxa"/>
          </w:tcPr>
          <w:p w14:paraId="2BEA391F" w14:textId="4BDB828C" w:rsidR="007930C3" w:rsidRPr="009B32C3" w:rsidRDefault="007930C3" w:rsidP="007930C3">
            <w:pPr>
              <w:spacing w:before="60" w:after="60"/>
              <w:rPr>
                <w:b/>
                <w:color w:val="000D2D"/>
              </w:rPr>
            </w:pPr>
            <w:r w:rsidRPr="009B32C3">
              <w:rPr>
                <w:color w:val="000D2D"/>
              </w:rPr>
              <w:t>N/A</w:t>
            </w:r>
          </w:p>
        </w:tc>
        <w:tc>
          <w:tcPr>
            <w:tcW w:w="2039" w:type="dxa"/>
          </w:tcPr>
          <w:p w14:paraId="539E323A" w14:textId="3F2C0F99" w:rsidR="007930C3" w:rsidRPr="009B32C3" w:rsidRDefault="007930C3" w:rsidP="007930C3">
            <w:pPr>
              <w:spacing w:before="60" w:after="60"/>
              <w:rPr>
                <w:b/>
                <w:color w:val="000D2D"/>
              </w:rPr>
            </w:pPr>
            <w:r w:rsidRPr="009B32C3">
              <w:rPr>
                <w:color w:val="000D2D"/>
              </w:rPr>
              <w:t>N/A</w:t>
            </w:r>
          </w:p>
        </w:tc>
      </w:tr>
    </w:tbl>
    <w:p w14:paraId="66085005" w14:textId="77777777" w:rsidR="00421F4F" w:rsidRPr="009B32C3" w:rsidRDefault="00421F4F" w:rsidP="00421F4F">
      <w:pPr>
        <w:spacing w:after="0"/>
        <w:rPr>
          <w:color w:val="000D2D"/>
          <w:sz w:val="24"/>
          <w:szCs w:val="24"/>
        </w:rPr>
      </w:pPr>
    </w:p>
    <w:p w14:paraId="3DAA4DD8" w14:textId="77777777" w:rsidR="000973CF" w:rsidRPr="009B32C3" w:rsidRDefault="00421F4F" w:rsidP="000973CF">
      <w:pPr>
        <w:spacing w:after="0"/>
        <w:rPr>
          <w:b/>
          <w:color w:val="000D2D"/>
        </w:rPr>
      </w:pPr>
      <w:r w:rsidRPr="009B32C3">
        <w:rPr>
          <w:b/>
          <w:color w:val="000D2D"/>
        </w:rPr>
        <w:t>Execution Factors – Exchange Traded Products (Exchange traded funds, exchange traded notes an</w:t>
      </w:r>
      <w:r w:rsidR="000973CF" w:rsidRPr="009B32C3">
        <w:rPr>
          <w:b/>
          <w:color w:val="000D2D"/>
        </w:rPr>
        <w:t>d exchange traded commodities):</w:t>
      </w:r>
    </w:p>
    <w:p w14:paraId="50C508FD" w14:textId="6183BCC5" w:rsidR="000973CF" w:rsidRPr="009B32C3" w:rsidRDefault="000973CF" w:rsidP="000973CF">
      <w:pPr>
        <w:pStyle w:val="ListParagraph"/>
        <w:numPr>
          <w:ilvl w:val="0"/>
          <w:numId w:val="23"/>
        </w:numPr>
        <w:rPr>
          <w:color w:val="000D2D"/>
        </w:rPr>
      </w:pPr>
      <w:r w:rsidRPr="009B32C3">
        <w:rPr>
          <w:color w:val="000D2D"/>
        </w:rPr>
        <w:t xml:space="preserve">Price </w:t>
      </w:r>
    </w:p>
    <w:p w14:paraId="0037389E" w14:textId="5CE4BF18" w:rsidR="000973CF" w:rsidRPr="009B32C3" w:rsidRDefault="000973CF" w:rsidP="000973CF">
      <w:pPr>
        <w:pStyle w:val="ListParagraph"/>
        <w:numPr>
          <w:ilvl w:val="0"/>
          <w:numId w:val="23"/>
        </w:numPr>
        <w:rPr>
          <w:color w:val="000D2D"/>
        </w:rPr>
      </w:pPr>
      <w:r w:rsidRPr="009B32C3">
        <w:rPr>
          <w:color w:val="000D2D"/>
        </w:rPr>
        <w:t xml:space="preserve">Costs </w:t>
      </w:r>
    </w:p>
    <w:p w14:paraId="15EDBFD3" w14:textId="3254243E" w:rsidR="000973CF" w:rsidRPr="009B32C3" w:rsidRDefault="000973CF" w:rsidP="000973CF">
      <w:pPr>
        <w:pStyle w:val="ListParagraph"/>
        <w:numPr>
          <w:ilvl w:val="0"/>
          <w:numId w:val="23"/>
        </w:numPr>
        <w:rPr>
          <w:color w:val="000D2D"/>
        </w:rPr>
      </w:pPr>
      <w:r w:rsidRPr="009B32C3">
        <w:rPr>
          <w:color w:val="000D2D"/>
        </w:rPr>
        <w:t>Speed</w:t>
      </w:r>
    </w:p>
    <w:p w14:paraId="4E83D376" w14:textId="653D0F09" w:rsidR="000973CF" w:rsidRPr="009B32C3" w:rsidRDefault="000973CF" w:rsidP="000973CF">
      <w:pPr>
        <w:pStyle w:val="ListParagraph"/>
        <w:numPr>
          <w:ilvl w:val="0"/>
          <w:numId w:val="23"/>
        </w:numPr>
        <w:rPr>
          <w:color w:val="000D2D"/>
        </w:rPr>
      </w:pPr>
      <w:r w:rsidRPr="009B32C3">
        <w:rPr>
          <w:color w:val="000D2D"/>
        </w:rPr>
        <w:t>Other implicit transaction costs</w:t>
      </w:r>
    </w:p>
    <w:p w14:paraId="03F8B632" w14:textId="29285E32" w:rsidR="00D03D34" w:rsidRPr="009B32C3" w:rsidRDefault="00372398" w:rsidP="001B2750">
      <w:pPr>
        <w:rPr>
          <w:color w:val="000D2D"/>
        </w:rPr>
      </w:pPr>
      <w:r w:rsidRPr="009B32C3">
        <w:rPr>
          <w:color w:val="000D2D"/>
        </w:rPr>
        <w:t xml:space="preserve">For Exchange Traded Funds, liquidity is not an issue, so the most important factors are execution price, costs and speed. For closed-ended funds, or investment trusts, we promote the broader factors pertaining to the market impact of the order. </w:t>
      </w:r>
    </w:p>
    <w:p w14:paraId="597B45E9" w14:textId="77777777" w:rsidR="003F12F5" w:rsidRPr="009B32C3" w:rsidRDefault="003F12F5" w:rsidP="001B2750">
      <w:pPr>
        <w:rPr>
          <w:b/>
          <w:color w:val="000D2D"/>
          <w:sz w:val="24"/>
          <w:szCs w:val="24"/>
        </w:rPr>
      </w:pPr>
    </w:p>
    <w:sectPr w:rsidR="003F12F5" w:rsidRPr="009B32C3" w:rsidSect="00A631EA">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F14F" w14:textId="77777777" w:rsidR="00C90A76" w:rsidRDefault="00C90A76" w:rsidP="005623DD">
      <w:pPr>
        <w:spacing w:after="0" w:line="240" w:lineRule="auto"/>
      </w:pPr>
      <w:r>
        <w:separator/>
      </w:r>
    </w:p>
  </w:endnote>
  <w:endnote w:type="continuationSeparator" w:id="0">
    <w:p w14:paraId="5C4A56F5" w14:textId="77777777" w:rsidR="00C90A76" w:rsidRDefault="00C90A76" w:rsidP="0056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14030" w:type="dxa"/>
      <w:tblLayout w:type="fixed"/>
      <w:tblLook w:val="04A0" w:firstRow="1" w:lastRow="0" w:firstColumn="1" w:lastColumn="0" w:noHBand="0" w:noVBand="1"/>
    </w:tblPr>
    <w:tblGrid>
      <w:gridCol w:w="1698"/>
      <w:gridCol w:w="10915"/>
      <w:gridCol w:w="1417"/>
    </w:tblGrid>
    <w:tr w:rsidR="00C90A76" w:rsidRPr="00D907C3" w14:paraId="02C5A564" w14:textId="77777777" w:rsidTr="00BC1282">
      <w:trPr>
        <w:trHeight w:val="258"/>
      </w:trPr>
      <w:tc>
        <w:tcPr>
          <w:tcW w:w="1698" w:type="dxa"/>
          <w:tcBorders>
            <w:top w:val="single" w:sz="8" w:space="0" w:color="auto"/>
            <w:left w:val="single" w:sz="2" w:space="0" w:color="FFFFFF" w:themeColor="background1"/>
            <w:bottom w:val="single" w:sz="2" w:space="0" w:color="FFFFFF" w:themeColor="background1"/>
            <w:right w:val="single" w:sz="2" w:space="0" w:color="FFFFFF" w:themeColor="background1"/>
          </w:tcBorders>
        </w:tcPr>
        <w:p w14:paraId="42113819" w14:textId="45DFEE98" w:rsidR="00C90A76" w:rsidRPr="00D907C3" w:rsidRDefault="00C90A76" w:rsidP="005623DD">
          <w:pPr>
            <w:spacing w:before="60"/>
            <w:rPr>
              <w:rFonts w:ascii="Calibri" w:eastAsia="Calibri" w:hAnsi="Calibri" w:cs="Calibri"/>
            </w:rPr>
          </w:pPr>
          <w:r w:rsidRPr="00D907C3">
            <w:rPr>
              <w:rFonts w:ascii="Calibri" w:eastAsia="Calibri" w:hAnsi="Calibri" w:cs="Calibri"/>
              <w:b/>
              <w:sz w:val="16"/>
              <w:szCs w:val="16"/>
            </w:rPr>
            <w:t>v.</w:t>
          </w:r>
          <w:r>
            <w:rPr>
              <w:rFonts w:ascii="Calibri" w:eastAsia="Calibri" w:hAnsi="Calibri" w:cs="Calibri"/>
              <w:b/>
              <w:sz w:val="16"/>
              <w:szCs w:val="16"/>
            </w:rPr>
            <w:t>0</w:t>
          </w:r>
          <w:r w:rsidR="00CA3B43">
            <w:rPr>
              <w:rFonts w:ascii="Calibri" w:eastAsia="Calibri" w:hAnsi="Calibri" w:cs="Calibri"/>
              <w:b/>
              <w:sz w:val="16"/>
              <w:szCs w:val="16"/>
            </w:rPr>
            <w:t>6</w:t>
          </w:r>
          <w:r>
            <w:rPr>
              <w:rFonts w:ascii="Calibri" w:eastAsia="Calibri" w:hAnsi="Calibri" w:cs="Calibri"/>
              <w:b/>
              <w:sz w:val="16"/>
              <w:szCs w:val="16"/>
            </w:rPr>
            <w:t>.</w:t>
          </w:r>
          <w:r w:rsidRPr="00D907C3">
            <w:rPr>
              <w:rFonts w:ascii="Calibri" w:eastAsia="Calibri" w:hAnsi="Calibri" w:cs="Calibri"/>
              <w:b/>
              <w:sz w:val="16"/>
              <w:szCs w:val="16"/>
            </w:rPr>
            <w:t>20</w:t>
          </w:r>
          <w:r w:rsidR="00CA3B43">
            <w:rPr>
              <w:rFonts w:ascii="Calibri" w:eastAsia="Calibri" w:hAnsi="Calibri" w:cs="Calibri"/>
              <w:b/>
              <w:sz w:val="16"/>
              <w:szCs w:val="16"/>
            </w:rPr>
            <w:t>20.</w:t>
          </w:r>
          <w:r w:rsidRPr="00D907C3">
            <w:rPr>
              <w:rFonts w:ascii="Calibri" w:eastAsia="Calibri" w:hAnsi="Calibri" w:cs="Calibri"/>
              <w:b/>
              <w:sz w:val="16"/>
              <w:szCs w:val="16"/>
            </w:rPr>
            <w:t>01</w:t>
          </w:r>
        </w:p>
      </w:tc>
      <w:tc>
        <w:tcPr>
          <w:tcW w:w="10915" w:type="dxa"/>
          <w:tcBorders>
            <w:top w:val="single" w:sz="8" w:space="0" w:color="auto"/>
            <w:left w:val="single" w:sz="2" w:space="0" w:color="FFFFFF" w:themeColor="background1"/>
            <w:bottom w:val="single" w:sz="2" w:space="0" w:color="FFFFFF" w:themeColor="background1"/>
            <w:right w:val="single" w:sz="2" w:space="0" w:color="FFFFFF" w:themeColor="background1"/>
          </w:tcBorders>
        </w:tcPr>
        <w:p w14:paraId="29A1EBFA" w14:textId="1F89303E" w:rsidR="00C90A76" w:rsidRPr="00D907C3" w:rsidRDefault="00C90A76" w:rsidP="005623DD">
          <w:pPr>
            <w:spacing w:before="60"/>
            <w:jc w:val="center"/>
            <w:rPr>
              <w:rFonts w:ascii="Calibri" w:eastAsia="Calibri" w:hAnsi="Calibri" w:cs="Calibri"/>
            </w:rPr>
          </w:pPr>
          <w:r>
            <w:rPr>
              <w:rFonts w:ascii="Calibri" w:eastAsia="Calibri" w:hAnsi="Calibri" w:cs="Calibri"/>
              <w:b/>
              <w:sz w:val="16"/>
              <w:szCs w:val="16"/>
            </w:rPr>
            <w:t>BEST EXECUTION REPORT 201</w:t>
          </w:r>
          <w:r w:rsidR="00CA3B43">
            <w:rPr>
              <w:rFonts w:ascii="Calibri" w:eastAsia="Calibri" w:hAnsi="Calibri" w:cs="Calibri"/>
              <w:b/>
              <w:sz w:val="16"/>
              <w:szCs w:val="16"/>
            </w:rPr>
            <w:t>9</w:t>
          </w:r>
        </w:p>
      </w:tc>
      <w:tc>
        <w:tcPr>
          <w:tcW w:w="1417" w:type="dxa"/>
          <w:tcBorders>
            <w:top w:val="single" w:sz="8" w:space="0" w:color="auto"/>
            <w:left w:val="single" w:sz="2" w:space="0" w:color="FFFFFF" w:themeColor="background1"/>
            <w:bottom w:val="single" w:sz="2" w:space="0" w:color="FFFFFF" w:themeColor="background1"/>
            <w:right w:val="single" w:sz="2" w:space="0" w:color="FFFFFF" w:themeColor="background1"/>
          </w:tcBorders>
        </w:tcPr>
        <w:p w14:paraId="43E6A7F1" w14:textId="1B160DA1" w:rsidR="00C90A76" w:rsidRPr="00D907C3" w:rsidRDefault="00CA3B43" w:rsidP="005623DD">
          <w:pPr>
            <w:spacing w:before="60"/>
            <w:ind w:left="-108"/>
            <w:jc w:val="right"/>
            <w:rPr>
              <w:rFonts w:ascii="Calibri" w:eastAsia="Calibri" w:hAnsi="Calibri" w:cs="Calibri"/>
            </w:rPr>
          </w:pPr>
          <w:r>
            <w:rPr>
              <w:rFonts w:ascii="Calibri" w:eastAsia="Calibri" w:hAnsi="Calibri" w:cs="Calibri"/>
              <w:b/>
              <w:sz w:val="16"/>
              <w:szCs w:val="16"/>
            </w:rPr>
            <w:t>JUNE</w:t>
          </w:r>
          <w:r w:rsidR="00C90A76" w:rsidRPr="00D907C3">
            <w:rPr>
              <w:rFonts w:ascii="Calibri" w:eastAsia="Calibri" w:hAnsi="Calibri" w:cs="Calibri"/>
              <w:b/>
              <w:sz w:val="16"/>
              <w:szCs w:val="16"/>
            </w:rPr>
            <w:t xml:space="preserve"> 20</w:t>
          </w:r>
          <w:r>
            <w:rPr>
              <w:rFonts w:ascii="Calibri" w:eastAsia="Calibri" w:hAnsi="Calibri" w:cs="Calibri"/>
              <w:b/>
              <w:sz w:val="16"/>
              <w:szCs w:val="16"/>
            </w:rPr>
            <w:t>20</w:t>
          </w:r>
        </w:p>
      </w:tc>
    </w:tr>
    <w:tr w:rsidR="00C90A76" w:rsidRPr="00D907C3" w14:paraId="43816D05" w14:textId="77777777" w:rsidTr="00BC1282">
      <w:tc>
        <w:tcPr>
          <w:tcW w:w="1403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66A2D3" w14:textId="3B319D10" w:rsidR="00C90A76" w:rsidRPr="00D907C3" w:rsidRDefault="00D75F53" w:rsidP="005623DD">
          <w:pPr>
            <w:jc w:val="center"/>
            <w:rPr>
              <w:rFonts w:ascii="Calibri" w:eastAsia="Calibri" w:hAnsi="Calibri" w:cs="Calibri"/>
              <w:i/>
            </w:rPr>
          </w:pPr>
          <w:r>
            <w:rPr>
              <w:rFonts w:ascii="Calibri" w:eastAsia="Calibri" w:hAnsi="Calibri" w:cs="Calibri"/>
              <w:b/>
              <w:i/>
              <w:sz w:val="16"/>
              <w:szCs w:val="16"/>
            </w:rPr>
            <w:t>Hottinger &amp; Co. Limited</w:t>
          </w:r>
          <w:r w:rsidR="00C90A76" w:rsidRPr="00D907C3">
            <w:rPr>
              <w:rFonts w:ascii="Calibri" w:eastAsia="Calibri" w:hAnsi="Calibri" w:cs="Calibri"/>
              <w:b/>
              <w:i/>
              <w:sz w:val="16"/>
              <w:szCs w:val="16"/>
            </w:rPr>
            <w:t xml:space="preserve"> is authorised and regulated by the Financial Conduct Authority</w:t>
          </w:r>
        </w:p>
      </w:tc>
    </w:tr>
    <w:tr w:rsidR="00C90A76" w:rsidRPr="00D907C3" w14:paraId="42C75870" w14:textId="77777777" w:rsidTr="00BC1282">
      <w:tc>
        <w:tcPr>
          <w:tcW w:w="169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026AA" w14:textId="77777777" w:rsidR="00C90A76" w:rsidRPr="00D907C3" w:rsidRDefault="00C90A76" w:rsidP="005623DD">
          <w:pPr>
            <w:rPr>
              <w:rFonts w:ascii="Calibri" w:eastAsia="Calibri" w:hAnsi="Calibri" w:cs="Calibri"/>
            </w:rPr>
          </w:pPr>
        </w:p>
      </w:tc>
      <w:tc>
        <w:tcPr>
          <w:tcW w:w="1091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183D65" w14:textId="4B211906" w:rsidR="00C90A76" w:rsidRPr="00D907C3" w:rsidRDefault="00C90A76" w:rsidP="005623DD">
          <w:pPr>
            <w:jc w:val="center"/>
            <w:rPr>
              <w:rFonts w:ascii="Calibri" w:eastAsia="Calibri" w:hAnsi="Calibri" w:cs="Calibri"/>
            </w:rPr>
          </w:pPr>
          <w:r w:rsidRPr="00D907C3">
            <w:rPr>
              <w:rFonts w:eastAsia="Calibri" w:cs="Calibri"/>
              <w:b/>
              <w:sz w:val="16"/>
              <w:szCs w:val="16"/>
            </w:rPr>
            <w:fldChar w:fldCharType="begin"/>
          </w:r>
          <w:r w:rsidRPr="00D907C3">
            <w:rPr>
              <w:rFonts w:ascii="Calibri" w:eastAsia="Calibri" w:hAnsi="Calibri" w:cs="Calibri"/>
              <w:b/>
              <w:sz w:val="16"/>
              <w:szCs w:val="16"/>
            </w:rPr>
            <w:instrText xml:space="preserve"> PAGE </w:instrText>
          </w:r>
          <w:r w:rsidRPr="00D907C3">
            <w:rPr>
              <w:rFonts w:eastAsia="Calibri" w:cs="Calibri"/>
              <w:b/>
              <w:sz w:val="16"/>
              <w:szCs w:val="16"/>
            </w:rPr>
            <w:fldChar w:fldCharType="separate"/>
          </w:r>
          <w:r w:rsidR="00FD024E">
            <w:rPr>
              <w:rFonts w:ascii="Calibri" w:eastAsia="Calibri" w:hAnsi="Calibri" w:cs="Calibri"/>
              <w:b/>
              <w:noProof/>
              <w:sz w:val="16"/>
              <w:szCs w:val="16"/>
            </w:rPr>
            <w:t>9</w:t>
          </w:r>
          <w:r w:rsidRPr="00D907C3">
            <w:rPr>
              <w:rFonts w:eastAsia="Calibri" w:cs="Calibri"/>
              <w:b/>
              <w:sz w:val="16"/>
              <w:szCs w:val="16"/>
            </w:rPr>
            <w:fldChar w:fldCharType="end"/>
          </w:r>
          <w:r w:rsidRPr="00D907C3">
            <w:rPr>
              <w:rFonts w:ascii="Calibri" w:eastAsia="Calibri" w:hAnsi="Calibri" w:cs="Calibri"/>
              <w:b/>
              <w:sz w:val="16"/>
              <w:szCs w:val="16"/>
            </w:rPr>
            <w:t xml:space="preserve"> of </w:t>
          </w:r>
          <w:r w:rsidRPr="00D907C3">
            <w:rPr>
              <w:rFonts w:eastAsia="Calibri" w:cs="Calibri"/>
              <w:b/>
              <w:sz w:val="16"/>
              <w:szCs w:val="16"/>
            </w:rPr>
            <w:fldChar w:fldCharType="begin"/>
          </w:r>
          <w:r w:rsidRPr="00D907C3">
            <w:rPr>
              <w:rFonts w:ascii="Calibri" w:eastAsia="Calibri" w:hAnsi="Calibri" w:cs="Calibri"/>
              <w:b/>
              <w:sz w:val="16"/>
              <w:szCs w:val="16"/>
            </w:rPr>
            <w:instrText xml:space="preserve"> NUMPAGES </w:instrText>
          </w:r>
          <w:r w:rsidRPr="00D907C3">
            <w:rPr>
              <w:rFonts w:eastAsia="Calibri" w:cs="Calibri"/>
              <w:b/>
              <w:sz w:val="16"/>
              <w:szCs w:val="16"/>
            </w:rPr>
            <w:fldChar w:fldCharType="separate"/>
          </w:r>
          <w:r w:rsidR="00FD024E">
            <w:rPr>
              <w:rFonts w:ascii="Calibri" w:eastAsia="Calibri" w:hAnsi="Calibri" w:cs="Calibri"/>
              <w:b/>
              <w:noProof/>
              <w:sz w:val="16"/>
              <w:szCs w:val="16"/>
            </w:rPr>
            <w:t>10</w:t>
          </w:r>
          <w:r w:rsidRPr="00D907C3">
            <w:rPr>
              <w:rFonts w:eastAsia="Calibri" w:cs="Calibri"/>
              <w:b/>
              <w:sz w:val="16"/>
              <w:szCs w:val="16"/>
            </w:rPr>
            <w:fldChar w:fldCharType="end"/>
          </w:r>
        </w:p>
      </w:tc>
      <w:tc>
        <w:tcPr>
          <w:tcW w:w="14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F82C46" w14:textId="77777777" w:rsidR="00C90A76" w:rsidRPr="00D907C3" w:rsidRDefault="00C90A76" w:rsidP="005623DD">
          <w:pPr>
            <w:rPr>
              <w:rFonts w:ascii="Calibri" w:eastAsia="Calibri" w:hAnsi="Calibri" w:cs="Calibri"/>
            </w:rPr>
          </w:pPr>
        </w:p>
      </w:tc>
    </w:tr>
  </w:tbl>
  <w:p w14:paraId="7498A6D0" w14:textId="77777777" w:rsidR="00C90A76" w:rsidRDefault="00C90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BB00D" w14:textId="77777777" w:rsidR="00C90A76" w:rsidRDefault="00C90A76" w:rsidP="005623DD">
      <w:pPr>
        <w:spacing w:after="0" w:line="240" w:lineRule="auto"/>
      </w:pPr>
      <w:r>
        <w:separator/>
      </w:r>
    </w:p>
  </w:footnote>
  <w:footnote w:type="continuationSeparator" w:id="0">
    <w:p w14:paraId="181F2755" w14:textId="77777777" w:rsidR="00C90A76" w:rsidRDefault="00C90A76" w:rsidP="00562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E9C"/>
    <w:multiLevelType w:val="hybridMultilevel"/>
    <w:tmpl w:val="6DE6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2A4E"/>
    <w:multiLevelType w:val="hybridMultilevel"/>
    <w:tmpl w:val="D63C4FEC"/>
    <w:lvl w:ilvl="0" w:tplc="B72A6518">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9229BC"/>
    <w:multiLevelType w:val="hybridMultilevel"/>
    <w:tmpl w:val="B7AE3600"/>
    <w:lvl w:ilvl="0" w:tplc="4E6606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E3E81"/>
    <w:multiLevelType w:val="hybridMultilevel"/>
    <w:tmpl w:val="389888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572C4"/>
    <w:multiLevelType w:val="hybridMultilevel"/>
    <w:tmpl w:val="A3BE1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19DE"/>
    <w:multiLevelType w:val="hybridMultilevel"/>
    <w:tmpl w:val="9FC48F2A"/>
    <w:lvl w:ilvl="0" w:tplc="AE96304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D40B5"/>
    <w:multiLevelType w:val="hybridMultilevel"/>
    <w:tmpl w:val="5C42A5EE"/>
    <w:lvl w:ilvl="0" w:tplc="8D1A88C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2751B"/>
    <w:multiLevelType w:val="multilevel"/>
    <w:tmpl w:val="A3F22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535A46"/>
    <w:multiLevelType w:val="multilevel"/>
    <w:tmpl w:val="B43E26D6"/>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cs="Calibri" w:hint="default"/>
        <w:b/>
      </w:rPr>
    </w:lvl>
    <w:lvl w:ilvl="2">
      <w:start w:val="1"/>
      <w:numFmt w:val="decimal"/>
      <w:isLgl/>
      <w:lvlText w:val="%1.%2.%3"/>
      <w:lvlJc w:val="left"/>
      <w:pPr>
        <w:ind w:left="1800" w:hanging="720"/>
      </w:pPr>
      <w:rPr>
        <w:rFonts w:cs="Calibri" w:hint="default"/>
        <w:b w:val="0"/>
      </w:rPr>
    </w:lvl>
    <w:lvl w:ilvl="3">
      <w:start w:val="1"/>
      <w:numFmt w:val="decimal"/>
      <w:isLgl/>
      <w:lvlText w:val="%1.%2.%3.%4"/>
      <w:lvlJc w:val="left"/>
      <w:pPr>
        <w:ind w:left="2160" w:hanging="720"/>
      </w:pPr>
      <w:rPr>
        <w:rFonts w:cs="Calibri" w:hint="default"/>
        <w:b w:val="0"/>
      </w:rPr>
    </w:lvl>
    <w:lvl w:ilvl="4">
      <w:start w:val="1"/>
      <w:numFmt w:val="decimal"/>
      <w:isLgl/>
      <w:lvlText w:val="%1.%2.%3.%4.%5"/>
      <w:lvlJc w:val="left"/>
      <w:pPr>
        <w:ind w:left="2880" w:hanging="1080"/>
      </w:pPr>
      <w:rPr>
        <w:rFonts w:cs="Calibri" w:hint="default"/>
        <w:b w:val="0"/>
      </w:rPr>
    </w:lvl>
    <w:lvl w:ilvl="5">
      <w:start w:val="1"/>
      <w:numFmt w:val="decimal"/>
      <w:isLgl/>
      <w:lvlText w:val="%1.%2.%3.%4.%5.%6"/>
      <w:lvlJc w:val="left"/>
      <w:pPr>
        <w:ind w:left="3240" w:hanging="1080"/>
      </w:pPr>
      <w:rPr>
        <w:rFonts w:cs="Calibri" w:hint="default"/>
        <w:b w:val="0"/>
      </w:rPr>
    </w:lvl>
    <w:lvl w:ilvl="6">
      <w:start w:val="1"/>
      <w:numFmt w:val="decimal"/>
      <w:isLgl/>
      <w:lvlText w:val="%1.%2.%3.%4.%5.%6.%7"/>
      <w:lvlJc w:val="left"/>
      <w:pPr>
        <w:ind w:left="3960" w:hanging="1440"/>
      </w:pPr>
      <w:rPr>
        <w:rFonts w:cs="Calibri" w:hint="default"/>
        <w:b w:val="0"/>
      </w:rPr>
    </w:lvl>
    <w:lvl w:ilvl="7">
      <w:start w:val="1"/>
      <w:numFmt w:val="decimal"/>
      <w:isLgl/>
      <w:lvlText w:val="%1.%2.%3.%4.%5.%6.%7.%8"/>
      <w:lvlJc w:val="left"/>
      <w:pPr>
        <w:ind w:left="4320" w:hanging="1440"/>
      </w:pPr>
      <w:rPr>
        <w:rFonts w:cs="Calibri" w:hint="default"/>
        <w:b w:val="0"/>
      </w:rPr>
    </w:lvl>
    <w:lvl w:ilvl="8">
      <w:start w:val="1"/>
      <w:numFmt w:val="decimal"/>
      <w:isLgl/>
      <w:lvlText w:val="%1.%2.%3.%4.%5.%6.%7.%8.%9"/>
      <w:lvlJc w:val="left"/>
      <w:pPr>
        <w:ind w:left="5040" w:hanging="1800"/>
      </w:pPr>
      <w:rPr>
        <w:rFonts w:cs="Calibri" w:hint="default"/>
        <w:b w:val="0"/>
      </w:rPr>
    </w:lvl>
  </w:abstractNum>
  <w:abstractNum w:abstractNumId="9" w15:restartNumberingAfterBreak="0">
    <w:nsid w:val="2F603751"/>
    <w:multiLevelType w:val="hybridMultilevel"/>
    <w:tmpl w:val="C8C274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65D91"/>
    <w:multiLevelType w:val="hybridMultilevel"/>
    <w:tmpl w:val="A98A88C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3ABA228E"/>
    <w:multiLevelType w:val="hybridMultilevel"/>
    <w:tmpl w:val="C336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87A1B"/>
    <w:multiLevelType w:val="hybridMultilevel"/>
    <w:tmpl w:val="82D0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3419F"/>
    <w:multiLevelType w:val="hybridMultilevel"/>
    <w:tmpl w:val="4370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75B65"/>
    <w:multiLevelType w:val="multilevel"/>
    <w:tmpl w:val="D9C6FF2E"/>
    <w:lvl w:ilvl="0">
      <w:start w:val="1"/>
      <w:numFmt w:val="decimal"/>
      <w:lvlText w:val="%1"/>
      <w:lvlJc w:val="left"/>
      <w:pPr>
        <w:ind w:left="360" w:hanging="360"/>
      </w:pPr>
      <w:rPr>
        <w:rFonts w:ascii="Calibri" w:eastAsia="Calibri" w:hAnsi="Calibri" w:cs="Calibri" w:hint="default"/>
        <w:b/>
      </w:rPr>
    </w:lvl>
    <w:lvl w:ilvl="1">
      <w:start w:val="1"/>
      <w:numFmt w:val="decimal"/>
      <w:lvlText w:val="%1.%2"/>
      <w:lvlJc w:val="left"/>
      <w:pPr>
        <w:ind w:left="360" w:hanging="360"/>
      </w:pPr>
      <w:rPr>
        <w:rFonts w:ascii="Calibri" w:eastAsia="Calibri" w:hAnsi="Calibri" w:cs="Calibri" w:hint="default"/>
        <w:b/>
      </w:rPr>
    </w:lvl>
    <w:lvl w:ilvl="2">
      <w:start w:val="1"/>
      <w:numFmt w:val="decimal"/>
      <w:lvlText w:val="%1.%2.%3"/>
      <w:lvlJc w:val="left"/>
      <w:pPr>
        <w:ind w:left="720" w:hanging="720"/>
      </w:pPr>
      <w:rPr>
        <w:rFonts w:ascii="Calibri" w:eastAsia="Calibri" w:hAnsi="Calibri" w:cs="Calibri" w:hint="default"/>
        <w:b/>
      </w:rPr>
    </w:lvl>
    <w:lvl w:ilvl="3">
      <w:start w:val="1"/>
      <w:numFmt w:val="decimal"/>
      <w:lvlText w:val="%1.%2.%3.%4"/>
      <w:lvlJc w:val="left"/>
      <w:pPr>
        <w:ind w:left="720" w:hanging="720"/>
      </w:pPr>
      <w:rPr>
        <w:rFonts w:ascii="Calibri" w:eastAsia="Calibri" w:hAnsi="Calibri" w:cs="Calibri" w:hint="default"/>
        <w:b/>
      </w:rPr>
    </w:lvl>
    <w:lvl w:ilvl="4">
      <w:start w:val="1"/>
      <w:numFmt w:val="decimal"/>
      <w:lvlText w:val="%1.%2.%3.%4.%5"/>
      <w:lvlJc w:val="left"/>
      <w:pPr>
        <w:ind w:left="1080" w:hanging="1080"/>
      </w:pPr>
      <w:rPr>
        <w:rFonts w:ascii="Calibri" w:eastAsia="Calibri" w:hAnsi="Calibri" w:cs="Calibri" w:hint="default"/>
        <w:b/>
      </w:rPr>
    </w:lvl>
    <w:lvl w:ilvl="5">
      <w:start w:val="1"/>
      <w:numFmt w:val="decimal"/>
      <w:lvlText w:val="%1.%2.%3.%4.%5.%6"/>
      <w:lvlJc w:val="left"/>
      <w:pPr>
        <w:ind w:left="1080" w:hanging="1080"/>
      </w:pPr>
      <w:rPr>
        <w:rFonts w:ascii="Calibri" w:eastAsia="Calibri" w:hAnsi="Calibri" w:cs="Calibri" w:hint="default"/>
        <w:b/>
      </w:rPr>
    </w:lvl>
    <w:lvl w:ilvl="6">
      <w:start w:val="1"/>
      <w:numFmt w:val="decimal"/>
      <w:lvlText w:val="%1.%2.%3.%4.%5.%6.%7"/>
      <w:lvlJc w:val="left"/>
      <w:pPr>
        <w:ind w:left="1440" w:hanging="1440"/>
      </w:pPr>
      <w:rPr>
        <w:rFonts w:ascii="Calibri" w:eastAsia="Calibri" w:hAnsi="Calibri" w:cs="Calibri" w:hint="default"/>
        <w:b/>
      </w:rPr>
    </w:lvl>
    <w:lvl w:ilvl="7">
      <w:start w:val="1"/>
      <w:numFmt w:val="decimal"/>
      <w:lvlText w:val="%1.%2.%3.%4.%5.%6.%7.%8"/>
      <w:lvlJc w:val="left"/>
      <w:pPr>
        <w:ind w:left="1440" w:hanging="1440"/>
      </w:pPr>
      <w:rPr>
        <w:rFonts w:ascii="Calibri" w:eastAsia="Calibri" w:hAnsi="Calibri" w:cs="Calibri" w:hint="default"/>
        <w:b/>
      </w:rPr>
    </w:lvl>
    <w:lvl w:ilvl="8">
      <w:start w:val="1"/>
      <w:numFmt w:val="decimal"/>
      <w:lvlText w:val="%1.%2.%3.%4.%5.%6.%7.%8.%9"/>
      <w:lvlJc w:val="left"/>
      <w:pPr>
        <w:ind w:left="1440" w:hanging="1440"/>
      </w:pPr>
      <w:rPr>
        <w:rFonts w:ascii="Calibri" w:eastAsia="Calibri" w:hAnsi="Calibri" w:cs="Calibri" w:hint="default"/>
        <w:b/>
      </w:rPr>
    </w:lvl>
  </w:abstractNum>
  <w:abstractNum w:abstractNumId="15" w15:restartNumberingAfterBreak="0">
    <w:nsid w:val="60206AD5"/>
    <w:multiLevelType w:val="hybridMultilevel"/>
    <w:tmpl w:val="9952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A2AFB"/>
    <w:multiLevelType w:val="multilevel"/>
    <w:tmpl w:val="53566A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1541B7"/>
    <w:multiLevelType w:val="hybridMultilevel"/>
    <w:tmpl w:val="25C0BA52"/>
    <w:lvl w:ilvl="0" w:tplc="08090001">
      <w:start w:val="1"/>
      <w:numFmt w:val="bullet"/>
      <w:lvlText w:val=""/>
      <w:lvlJc w:val="left"/>
      <w:pPr>
        <w:ind w:left="1440" w:hanging="360"/>
      </w:pPr>
      <w:rPr>
        <w:rFonts w:ascii="Symbol" w:hAnsi="Symbol" w:hint="default"/>
      </w:rPr>
    </w:lvl>
    <w:lvl w:ilvl="1" w:tplc="6AF24CBE">
      <w:numFmt w:val="bullet"/>
      <w:lvlText w:val="•"/>
      <w:lvlJc w:val="left"/>
      <w:pPr>
        <w:ind w:left="2220" w:hanging="4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42745F"/>
    <w:multiLevelType w:val="hybridMultilevel"/>
    <w:tmpl w:val="408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B4E4D"/>
    <w:multiLevelType w:val="hybridMultilevel"/>
    <w:tmpl w:val="6FE8A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A718FC"/>
    <w:multiLevelType w:val="multilevel"/>
    <w:tmpl w:val="D576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3B12857"/>
    <w:multiLevelType w:val="hybridMultilevel"/>
    <w:tmpl w:val="9BC8F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C1967"/>
    <w:multiLevelType w:val="hybridMultilevel"/>
    <w:tmpl w:val="6B507EEE"/>
    <w:lvl w:ilvl="0" w:tplc="C904248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17276"/>
    <w:multiLevelType w:val="hybridMultilevel"/>
    <w:tmpl w:val="B2EA47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D0FA6"/>
    <w:multiLevelType w:val="hybridMultilevel"/>
    <w:tmpl w:val="1DBE6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4"/>
  </w:num>
  <w:num w:numId="5">
    <w:abstractNumId w:val="17"/>
  </w:num>
  <w:num w:numId="6">
    <w:abstractNumId w:val="2"/>
  </w:num>
  <w:num w:numId="7">
    <w:abstractNumId w:val="16"/>
  </w:num>
  <w:num w:numId="8">
    <w:abstractNumId w:val="20"/>
  </w:num>
  <w:num w:numId="9">
    <w:abstractNumId w:val="22"/>
  </w:num>
  <w:num w:numId="10">
    <w:abstractNumId w:val="19"/>
  </w:num>
  <w:num w:numId="11">
    <w:abstractNumId w:val="9"/>
  </w:num>
  <w:num w:numId="12">
    <w:abstractNumId w:val="5"/>
  </w:num>
  <w:num w:numId="13">
    <w:abstractNumId w:val="23"/>
  </w:num>
  <w:num w:numId="14">
    <w:abstractNumId w:val="21"/>
  </w:num>
  <w:num w:numId="15">
    <w:abstractNumId w:val="3"/>
  </w:num>
  <w:num w:numId="16">
    <w:abstractNumId w:val="4"/>
  </w:num>
  <w:num w:numId="17">
    <w:abstractNumId w:val="0"/>
  </w:num>
  <w:num w:numId="18">
    <w:abstractNumId w:val="13"/>
  </w:num>
  <w:num w:numId="19">
    <w:abstractNumId w:val="18"/>
  </w:num>
  <w:num w:numId="20">
    <w:abstractNumId w:val="15"/>
  </w:num>
  <w:num w:numId="21">
    <w:abstractNumId w:val="12"/>
  </w:num>
  <w:num w:numId="22">
    <w:abstractNumId w:val="10"/>
  </w:num>
  <w:num w:numId="23">
    <w:abstractNumId w:val="11"/>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DD"/>
    <w:rsid w:val="000973CF"/>
    <w:rsid w:val="000A4776"/>
    <w:rsid w:val="000A70CC"/>
    <w:rsid w:val="000E2F3C"/>
    <w:rsid w:val="001369F0"/>
    <w:rsid w:val="00141C9B"/>
    <w:rsid w:val="00167C2C"/>
    <w:rsid w:val="00195E27"/>
    <w:rsid w:val="00197681"/>
    <w:rsid w:val="001A4AA3"/>
    <w:rsid w:val="001B2750"/>
    <w:rsid w:val="001E63E0"/>
    <w:rsid w:val="001F31DA"/>
    <w:rsid w:val="00216D37"/>
    <w:rsid w:val="00255862"/>
    <w:rsid w:val="00280FE9"/>
    <w:rsid w:val="002C3BE0"/>
    <w:rsid w:val="00331FB5"/>
    <w:rsid w:val="00350105"/>
    <w:rsid w:val="00372398"/>
    <w:rsid w:val="003729B9"/>
    <w:rsid w:val="003967B5"/>
    <w:rsid w:val="003A2F0D"/>
    <w:rsid w:val="003F12F5"/>
    <w:rsid w:val="00410260"/>
    <w:rsid w:val="00417A50"/>
    <w:rsid w:val="00421F4F"/>
    <w:rsid w:val="00425631"/>
    <w:rsid w:val="0049663C"/>
    <w:rsid w:val="004979AC"/>
    <w:rsid w:val="0050119F"/>
    <w:rsid w:val="0050242B"/>
    <w:rsid w:val="005623DD"/>
    <w:rsid w:val="005834A8"/>
    <w:rsid w:val="005C64C0"/>
    <w:rsid w:val="005E1879"/>
    <w:rsid w:val="005F1A48"/>
    <w:rsid w:val="00606753"/>
    <w:rsid w:val="006A16A9"/>
    <w:rsid w:val="007930C3"/>
    <w:rsid w:val="007A6F76"/>
    <w:rsid w:val="007C1B83"/>
    <w:rsid w:val="007D7DE4"/>
    <w:rsid w:val="008075F8"/>
    <w:rsid w:val="008A118F"/>
    <w:rsid w:val="008D7590"/>
    <w:rsid w:val="008F3956"/>
    <w:rsid w:val="008F725B"/>
    <w:rsid w:val="00947932"/>
    <w:rsid w:val="00972D21"/>
    <w:rsid w:val="00996389"/>
    <w:rsid w:val="009A69CB"/>
    <w:rsid w:val="009B32C3"/>
    <w:rsid w:val="009B57C2"/>
    <w:rsid w:val="009B58F8"/>
    <w:rsid w:val="009D52C0"/>
    <w:rsid w:val="009D7380"/>
    <w:rsid w:val="00A01942"/>
    <w:rsid w:val="00A4337C"/>
    <w:rsid w:val="00A631EA"/>
    <w:rsid w:val="00A87D0C"/>
    <w:rsid w:val="00B63104"/>
    <w:rsid w:val="00B944AF"/>
    <w:rsid w:val="00BA0434"/>
    <w:rsid w:val="00BA2F62"/>
    <w:rsid w:val="00BC1282"/>
    <w:rsid w:val="00BC71BF"/>
    <w:rsid w:val="00BD4ECD"/>
    <w:rsid w:val="00C1179D"/>
    <w:rsid w:val="00C41638"/>
    <w:rsid w:val="00C90A76"/>
    <w:rsid w:val="00C94205"/>
    <w:rsid w:val="00C95F40"/>
    <w:rsid w:val="00CA3B43"/>
    <w:rsid w:val="00D03D34"/>
    <w:rsid w:val="00D450B4"/>
    <w:rsid w:val="00D53098"/>
    <w:rsid w:val="00D557A3"/>
    <w:rsid w:val="00D57179"/>
    <w:rsid w:val="00D75F53"/>
    <w:rsid w:val="00D94D4F"/>
    <w:rsid w:val="00DE188C"/>
    <w:rsid w:val="00E113FE"/>
    <w:rsid w:val="00E570AB"/>
    <w:rsid w:val="00EC10C0"/>
    <w:rsid w:val="00EE65F2"/>
    <w:rsid w:val="00EF0D62"/>
    <w:rsid w:val="00F01F91"/>
    <w:rsid w:val="00F221FF"/>
    <w:rsid w:val="00F233AA"/>
    <w:rsid w:val="00F92ED0"/>
    <w:rsid w:val="00F93380"/>
    <w:rsid w:val="00F95814"/>
    <w:rsid w:val="00FD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BF97"/>
  <w15:docId w15:val="{537B1475-2A36-4FF6-958B-DF04E08C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DD"/>
  </w:style>
  <w:style w:type="paragraph" w:styleId="Footer">
    <w:name w:val="footer"/>
    <w:basedOn w:val="Normal"/>
    <w:link w:val="FooterChar"/>
    <w:uiPriority w:val="99"/>
    <w:unhideWhenUsed/>
    <w:rsid w:val="00562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DD"/>
  </w:style>
  <w:style w:type="table" w:customStyle="1" w:styleId="TableGrid1">
    <w:name w:val="Table Grid1"/>
    <w:basedOn w:val="TableNormal"/>
    <w:next w:val="TableGrid"/>
    <w:rsid w:val="005623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623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3DD"/>
    <w:pPr>
      <w:ind w:left="720"/>
      <w:contextualSpacing/>
    </w:pPr>
  </w:style>
  <w:style w:type="table" w:customStyle="1" w:styleId="TableGrid11">
    <w:name w:val="Table Grid11"/>
    <w:basedOn w:val="TableNormal"/>
    <w:next w:val="TableGrid"/>
    <w:uiPriority w:val="59"/>
    <w:rsid w:val="005623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25B"/>
    <w:rPr>
      <w:color w:val="0563C1" w:themeColor="hyperlink"/>
      <w:u w:val="single"/>
    </w:rPr>
  </w:style>
  <w:style w:type="table" w:customStyle="1" w:styleId="TableGrid12">
    <w:name w:val="Table Grid12"/>
    <w:basedOn w:val="TableNormal"/>
    <w:next w:val="TableGrid"/>
    <w:uiPriority w:val="59"/>
    <w:rsid w:val="00F9581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814"/>
    <w:rPr>
      <w:rFonts w:ascii="Segoe UI" w:hAnsi="Segoe UI" w:cs="Segoe UI"/>
      <w:sz w:val="18"/>
      <w:szCs w:val="18"/>
    </w:rPr>
  </w:style>
  <w:style w:type="table" w:customStyle="1" w:styleId="TableGrid3">
    <w:name w:val="Table Grid3"/>
    <w:basedOn w:val="TableNormal"/>
    <w:next w:val="TableGrid"/>
    <w:uiPriority w:val="39"/>
    <w:rsid w:val="00A6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282"/>
    <w:rPr>
      <w:sz w:val="16"/>
      <w:szCs w:val="16"/>
    </w:rPr>
  </w:style>
  <w:style w:type="paragraph" w:styleId="CommentText">
    <w:name w:val="annotation text"/>
    <w:basedOn w:val="Normal"/>
    <w:link w:val="CommentTextChar"/>
    <w:uiPriority w:val="99"/>
    <w:semiHidden/>
    <w:unhideWhenUsed/>
    <w:rsid w:val="00BC1282"/>
    <w:pPr>
      <w:spacing w:line="240" w:lineRule="auto"/>
    </w:pPr>
    <w:rPr>
      <w:sz w:val="20"/>
      <w:szCs w:val="20"/>
    </w:rPr>
  </w:style>
  <w:style w:type="character" w:customStyle="1" w:styleId="CommentTextChar">
    <w:name w:val="Comment Text Char"/>
    <w:basedOn w:val="DefaultParagraphFont"/>
    <w:link w:val="CommentText"/>
    <w:uiPriority w:val="99"/>
    <w:semiHidden/>
    <w:rsid w:val="00BC1282"/>
    <w:rPr>
      <w:sz w:val="20"/>
      <w:szCs w:val="20"/>
    </w:rPr>
  </w:style>
  <w:style w:type="paragraph" w:styleId="CommentSubject">
    <w:name w:val="annotation subject"/>
    <w:basedOn w:val="CommentText"/>
    <w:next w:val="CommentText"/>
    <w:link w:val="CommentSubjectChar"/>
    <w:uiPriority w:val="99"/>
    <w:semiHidden/>
    <w:unhideWhenUsed/>
    <w:rsid w:val="00BC1282"/>
    <w:rPr>
      <w:b/>
      <w:bCs/>
    </w:rPr>
  </w:style>
  <w:style w:type="character" w:customStyle="1" w:styleId="CommentSubjectChar">
    <w:name w:val="Comment Subject Char"/>
    <w:basedOn w:val="CommentTextChar"/>
    <w:link w:val="CommentSubject"/>
    <w:uiPriority w:val="99"/>
    <w:semiHidden/>
    <w:rsid w:val="00BC1282"/>
    <w:rPr>
      <w:b/>
      <w:bCs/>
      <w:sz w:val="20"/>
      <w:szCs w:val="20"/>
    </w:rPr>
  </w:style>
  <w:style w:type="table" w:customStyle="1" w:styleId="TableGrid4">
    <w:name w:val="Table Grid4"/>
    <w:basedOn w:val="TableNormal"/>
    <w:next w:val="TableGrid"/>
    <w:uiPriority w:val="39"/>
    <w:rsid w:val="00D0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4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4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2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2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tting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333E-1931-4357-8617-DDB1B508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lahiria</dc:creator>
  <cp:lastModifiedBy>Tim Sharp</cp:lastModifiedBy>
  <cp:revision>2</cp:revision>
  <cp:lastPrinted>2018-05-10T11:36:00Z</cp:lastPrinted>
  <dcterms:created xsi:type="dcterms:W3CDTF">2020-06-22T16:58:00Z</dcterms:created>
  <dcterms:modified xsi:type="dcterms:W3CDTF">2020-06-22T16:58:00Z</dcterms:modified>
</cp:coreProperties>
</file>