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277C" w14:textId="3818C1BE" w:rsidR="002938AC" w:rsidRPr="00794B75" w:rsidRDefault="002938AC" w:rsidP="00794B75">
      <w:pPr>
        <w:pStyle w:val="Default"/>
        <w:ind w:left="709" w:hanging="709"/>
      </w:pPr>
      <w:r w:rsidRPr="00794B75">
        <w:rPr>
          <w:b/>
          <w:bCs/>
        </w:rPr>
        <w:t>1</w:t>
      </w:r>
      <w:r w:rsidR="00794B75" w:rsidRPr="00794B75">
        <w:rPr>
          <w:b/>
          <w:bCs/>
        </w:rPr>
        <w:t>.</w:t>
      </w:r>
      <w:r w:rsidRPr="00794B75">
        <w:rPr>
          <w:b/>
          <w:bCs/>
        </w:rPr>
        <w:t xml:space="preserve"> </w:t>
      </w:r>
      <w:r w:rsidR="00794B75" w:rsidRPr="00794B75">
        <w:rPr>
          <w:b/>
          <w:bCs/>
        </w:rPr>
        <w:tab/>
      </w:r>
      <w:r w:rsidRPr="00794B75">
        <w:rPr>
          <w:b/>
          <w:bCs/>
        </w:rPr>
        <w:t xml:space="preserve">Overview and summary </w:t>
      </w:r>
    </w:p>
    <w:p w14:paraId="432E7EDD" w14:textId="131D86C6" w:rsidR="006F2E4B" w:rsidRPr="006F2E4B" w:rsidRDefault="00794B75" w:rsidP="006F2E4B">
      <w:pPr>
        <w:pStyle w:val="Default"/>
        <w:rPr>
          <w:sz w:val="22"/>
          <w:szCs w:val="22"/>
        </w:rPr>
      </w:pPr>
      <w:r>
        <w:rPr>
          <w:sz w:val="22"/>
          <w:szCs w:val="22"/>
        </w:rPr>
        <w:t>Hottinger &amp; Co Limited</w:t>
      </w:r>
      <w:r w:rsidR="002938AC">
        <w:rPr>
          <w:sz w:val="22"/>
          <w:szCs w:val="22"/>
        </w:rPr>
        <w:t xml:space="preserve"> (</w:t>
      </w:r>
      <w:r>
        <w:rPr>
          <w:sz w:val="22"/>
          <w:szCs w:val="22"/>
        </w:rPr>
        <w:t>HottCo</w:t>
      </w:r>
      <w:r w:rsidR="002938AC">
        <w:rPr>
          <w:sz w:val="22"/>
          <w:szCs w:val="22"/>
        </w:rPr>
        <w:t xml:space="preserve">) </w:t>
      </w:r>
      <w:r w:rsidR="006F2E4B" w:rsidRPr="006F2E4B">
        <w:rPr>
          <w:sz w:val="22"/>
          <w:szCs w:val="22"/>
        </w:rPr>
        <w:t>is part of the Hottinger Group of affiliated entities.  The Hottinger Group is an international wealth management business focusing on the provision of bespoke discretionary portfolio management services to global clients and financial advisory and wealth planning services to very high net worth individuals and wealthy families.</w:t>
      </w:r>
    </w:p>
    <w:p w14:paraId="0BE7FE42" w14:textId="77777777" w:rsidR="00940502" w:rsidRDefault="00940502" w:rsidP="006F2E4B">
      <w:pPr>
        <w:pStyle w:val="Default"/>
        <w:rPr>
          <w:sz w:val="22"/>
          <w:szCs w:val="22"/>
        </w:rPr>
      </w:pPr>
    </w:p>
    <w:p w14:paraId="6D317AD8" w14:textId="2D2F7FF9" w:rsidR="006F2E4B" w:rsidRDefault="006F2E4B" w:rsidP="006F2E4B">
      <w:pPr>
        <w:pStyle w:val="Default"/>
        <w:rPr>
          <w:sz w:val="22"/>
          <w:szCs w:val="22"/>
        </w:rPr>
      </w:pPr>
      <w:r>
        <w:rPr>
          <w:sz w:val="22"/>
          <w:szCs w:val="22"/>
        </w:rPr>
        <w:t xml:space="preserve">HottCo is authorised and </w:t>
      </w:r>
      <w:r w:rsidRPr="006F2E4B">
        <w:rPr>
          <w:sz w:val="22"/>
          <w:szCs w:val="22"/>
        </w:rPr>
        <w:t>regulated by the Financial Conduct Authority (FCA) in the United Kingdom (UK); and by the Securities and Exchange Commission (SEC) as a Registered Investment Adviser (RIA) in the United States (U</w:t>
      </w:r>
      <w:r w:rsidR="00940502">
        <w:rPr>
          <w:sz w:val="22"/>
          <w:szCs w:val="22"/>
        </w:rPr>
        <w:t>.</w:t>
      </w:r>
      <w:r w:rsidRPr="006F2E4B">
        <w:rPr>
          <w:sz w:val="22"/>
          <w:szCs w:val="22"/>
        </w:rPr>
        <w:t>S</w:t>
      </w:r>
      <w:r w:rsidR="00940502">
        <w:rPr>
          <w:sz w:val="22"/>
          <w:szCs w:val="22"/>
        </w:rPr>
        <w:t>.</w:t>
      </w:r>
      <w:r w:rsidRPr="006F2E4B">
        <w:rPr>
          <w:sz w:val="22"/>
          <w:szCs w:val="22"/>
        </w:rPr>
        <w:t>).</w:t>
      </w:r>
    </w:p>
    <w:p w14:paraId="264DFAC0" w14:textId="77777777" w:rsidR="00794B75" w:rsidRDefault="00794B75" w:rsidP="002938AC">
      <w:pPr>
        <w:pStyle w:val="Default"/>
        <w:rPr>
          <w:sz w:val="22"/>
          <w:szCs w:val="22"/>
        </w:rPr>
      </w:pPr>
    </w:p>
    <w:p w14:paraId="38DFEB61" w14:textId="74BAE0DE" w:rsidR="00ED4025" w:rsidRDefault="00CC4D83" w:rsidP="001642FB">
      <w:pPr>
        <w:shd w:val="clear" w:color="auto" w:fill="FFFFFF"/>
        <w:spacing w:after="0" w:line="240" w:lineRule="auto"/>
        <w:jc w:val="both"/>
      </w:pPr>
      <w:r>
        <w:t xml:space="preserve">From 1 January 2022, </w:t>
      </w:r>
      <w:r w:rsidR="0055699E">
        <w:rPr>
          <w:rFonts w:eastAsia="Times New Roman" w:cstheme="minorHAnsi"/>
          <w:color w:val="000000"/>
          <w:lang w:eastAsia="en-GB"/>
        </w:rPr>
        <w:t>Hott</w:t>
      </w:r>
      <w:r w:rsidR="00794B75">
        <w:rPr>
          <w:rFonts w:eastAsia="Times New Roman" w:cstheme="minorHAnsi"/>
          <w:color w:val="000000"/>
          <w:lang w:eastAsia="en-GB"/>
        </w:rPr>
        <w:t xml:space="preserve">Co </w:t>
      </w:r>
      <w:r>
        <w:t>became subject to the UK Investment Firms Prudential Regime (IFPR). Under the IFPR</w:t>
      </w:r>
      <w:r w:rsidR="00794B75" w:rsidRPr="00794B75">
        <w:t xml:space="preserve"> and specifically the FCA’s Prudential Sourcebook for MiFID firms (MIFIDPRU)</w:t>
      </w:r>
      <w:r>
        <w:t xml:space="preserve">, </w:t>
      </w:r>
      <w:r w:rsidR="0055699E">
        <w:t>HottCo</w:t>
      </w:r>
      <w:r w:rsidR="00794B75">
        <w:t xml:space="preserve"> has been classified as </w:t>
      </w:r>
      <w:r>
        <w:t xml:space="preserve">a </w:t>
      </w:r>
      <w:r w:rsidR="00ED4025">
        <w:t xml:space="preserve">Small Non-Interconnected (SNI) </w:t>
      </w:r>
      <w:r>
        <w:t>MIFIDPRU investment firm</w:t>
      </w:r>
      <w:r w:rsidR="00794B75">
        <w:t>. As an SNI firm (</w:t>
      </w:r>
      <w:r w:rsidR="00794B75" w:rsidRPr="00794B75">
        <w:t xml:space="preserve">without additional </w:t>
      </w:r>
      <w:r w:rsidR="00794B75">
        <w:t>T</w:t>
      </w:r>
      <w:r w:rsidR="00794B75" w:rsidRPr="00794B75">
        <w:t>ier 1 instruments in issue</w:t>
      </w:r>
      <w:r w:rsidR="00794B75">
        <w:t xml:space="preserve">), HottCo </w:t>
      </w:r>
      <w:r>
        <w:t xml:space="preserve">is required (among other things) to publish </w:t>
      </w:r>
      <w:r w:rsidR="00ED4025">
        <w:t xml:space="preserve">a summary </w:t>
      </w:r>
      <w:r>
        <w:t xml:space="preserve">disclosure covering </w:t>
      </w:r>
      <w:r w:rsidR="00ED4025">
        <w:t xml:space="preserve">its </w:t>
      </w:r>
      <w:r>
        <w:t>remuneration</w:t>
      </w:r>
      <w:r w:rsidR="00ED4025">
        <w:t xml:space="preserve"> arrangements under the Financial Conduct Authority (FCA) </w:t>
      </w:r>
      <w:hyperlink w:history="1">
        <w:r w:rsidR="00ED4025" w:rsidRPr="00ED4025">
          <w:rPr>
            <w:rStyle w:val="Hyperlink"/>
            <w:i/>
            <w:iCs/>
            <w:color w:val="0000FF"/>
            <w:u w:val="none"/>
          </w:rPr>
          <w:t>MIFIDPRU 8.6</w:t>
        </w:r>
      </w:hyperlink>
      <w:r w:rsidR="0055699E">
        <w:rPr>
          <w:rStyle w:val="Hyperlink"/>
          <w:i/>
          <w:iCs/>
          <w:color w:val="0000FF"/>
          <w:u w:val="none"/>
        </w:rPr>
        <w:t xml:space="preserve"> </w:t>
      </w:r>
      <w:r w:rsidR="00ED4025">
        <w:t>Rules.</w:t>
      </w:r>
    </w:p>
    <w:p w14:paraId="50655D8F" w14:textId="77777777" w:rsidR="00ED4025" w:rsidRDefault="00ED4025" w:rsidP="001642FB">
      <w:pPr>
        <w:shd w:val="clear" w:color="auto" w:fill="FFFFFF"/>
        <w:spacing w:after="0" w:line="240" w:lineRule="auto"/>
        <w:jc w:val="both"/>
      </w:pPr>
    </w:p>
    <w:p w14:paraId="278A5D4A" w14:textId="2EB55DCD" w:rsidR="00CC4D83" w:rsidRDefault="00940502" w:rsidP="00DD1440">
      <w:pPr>
        <w:spacing w:after="0" w:line="240" w:lineRule="auto"/>
        <w:jc w:val="both"/>
        <w:rPr>
          <w:rFonts w:cstheme="minorHAnsi"/>
        </w:rPr>
      </w:pPr>
      <w:r w:rsidRPr="007B25BE">
        <w:rPr>
          <w:rFonts w:cstheme="minorHAnsi"/>
        </w:rPr>
        <w:t xml:space="preserve">This Remuneration Disclosure covers HottCo only. </w:t>
      </w:r>
      <w:r w:rsidR="00ED4025" w:rsidRPr="007B25BE">
        <w:rPr>
          <w:rFonts w:cstheme="minorHAnsi"/>
        </w:rPr>
        <w:t xml:space="preserve">The performance reference date is from 1 </w:t>
      </w:r>
      <w:r w:rsidR="0055699E" w:rsidRPr="007B25BE">
        <w:rPr>
          <w:rFonts w:cstheme="minorHAnsi"/>
        </w:rPr>
        <w:t>January</w:t>
      </w:r>
      <w:r w:rsidR="00ED4025" w:rsidRPr="007B25BE">
        <w:rPr>
          <w:rFonts w:cstheme="minorHAnsi"/>
        </w:rPr>
        <w:t xml:space="preserve"> 202</w:t>
      </w:r>
      <w:r w:rsidR="0055699E" w:rsidRPr="007B25BE">
        <w:rPr>
          <w:rFonts w:cstheme="minorHAnsi"/>
        </w:rPr>
        <w:t>2</w:t>
      </w:r>
      <w:r w:rsidR="00ED4025" w:rsidRPr="007B25BE">
        <w:rPr>
          <w:rFonts w:cstheme="minorHAnsi"/>
        </w:rPr>
        <w:t xml:space="preserve"> to 3</w:t>
      </w:r>
      <w:r w:rsidR="007B25BE" w:rsidRPr="007B25BE">
        <w:rPr>
          <w:rFonts w:cstheme="minorHAnsi"/>
        </w:rPr>
        <w:t>1</w:t>
      </w:r>
      <w:r w:rsidR="0055699E" w:rsidRPr="007B25BE">
        <w:rPr>
          <w:rFonts w:cstheme="minorHAnsi"/>
        </w:rPr>
        <w:t xml:space="preserve"> </w:t>
      </w:r>
      <w:r w:rsidR="007B25BE" w:rsidRPr="007B25BE">
        <w:rPr>
          <w:rFonts w:cstheme="minorHAnsi"/>
        </w:rPr>
        <w:t>Dec</w:t>
      </w:r>
      <w:r w:rsidR="0055699E" w:rsidRPr="007B25BE">
        <w:rPr>
          <w:rFonts w:cstheme="minorHAnsi"/>
        </w:rPr>
        <w:t xml:space="preserve">ember </w:t>
      </w:r>
      <w:r w:rsidR="00ED4025" w:rsidRPr="007B25BE">
        <w:rPr>
          <w:rFonts w:cstheme="minorHAnsi"/>
        </w:rPr>
        <w:t xml:space="preserve">2022 and this Remuneration Policy Statement </w:t>
      </w:r>
      <w:r w:rsidR="00DD1440" w:rsidRPr="007B25BE">
        <w:rPr>
          <w:rFonts w:cstheme="minorHAnsi"/>
        </w:rPr>
        <w:t xml:space="preserve">disclosure </w:t>
      </w:r>
      <w:r w:rsidR="00ED4025" w:rsidRPr="007B25BE">
        <w:rPr>
          <w:rFonts w:cstheme="minorHAnsi"/>
        </w:rPr>
        <w:t xml:space="preserve">is in respect to the performance period to </w:t>
      </w:r>
      <w:r w:rsidR="007B25BE" w:rsidRPr="007B25BE">
        <w:rPr>
          <w:rFonts w:cstheme="minorHAnsi"/>
        </w:rPr>
        <w:t>31</w:t>
      </w:r>
      <w:r w:rsidR="0055699E" w:rsidRPr="007B25BE">
        <w:rPr>
          <w:rFonts w:cstheme="minorHAnsi"/>
        </w:rPr>
        <w:t xml:space="preserve"> </w:t>
      </w:r>
      <w:r w:rsidR="007B25BE" w:rsidRPr="007B25BE">
        <w:rPr>
          <w:rFonts w:cstheme="minorHAnsi"/>
        </w:rPr>
        <w:t>Dec</w:t>
      </w:r>
      <w:r w:rsidR="0055699E" w:rsidRPr="007B25BE">
        <w:rPr>
          <w:rFonts w:cstheme="minorHAnsi"/>
        </w:rPr>
        <w:t xml:space="preserve">ember </w:t>
      </w:r>
      <w:r w:rsidR="00ED4025" w:rsidRPr="007B25BE">
        <w:rPr>
          <w:rFonts w:cstheme="minorHAnsi"/>
        </w:rPr>
        <w:t>2022</w:t>
      </w:r>
      <w:r w:rsidR="00794B75" w:rsidRPr="007B25BE">
        <w:rPr>
          <w:rFonts w:cstheme="minorHAnsi"/>
        </w:rPr>
        <w:t xml:space="preserve"> and has been prepared on the audited </w:t>
      </w:r>
      <w:r w:rsidR="00CF462B" w:rsidRPr="007B25BE">
        <w:rPr>
          <w:rFonts w:cstheme="minorHAnsi"/>
        </w:rPr>
        <w:t>financials</w:t>
      </w:r>
      <w:r w:rsidR="00794B75" w:rsidRPr="007B25BE">
        <w:rPr>
          <w:rFonts w:cstheme="minorHAnsi"/>
        </w:rPr>
        <w:t xml:space="preserve"> as </w:t>
      </w:r>
      <w:r w:rsidR="004610A3" w:rsidRPr="007B25BE">
        <w:rPr>
          <w:rFonts w:cstheme="minorHAnsi"/>
        </w:rPr>
        <w:t>of</w:t>
      </w:r>
      <w:r w:rsidR="00794B75" w:rsidRPr="007B25BE">
        <w:rPr>
          <w:rFonts w:cstheme="minorHAnsi"/>
        </w:rPr>
        <w:t xml:space="preserve"> </w:t>
      </w:r>
      <w:r w:rsidR="007B25BE" w:rsidRPr="007B25BE">
        <w:rPr>
          <w:rFonts w:cstheme="minorHAnsi"/>
        </w:rPr>
        <w:t>26</w:t>
      </w:r>
      <w:r w:rsidR="00794B75" w:rsidRPr="007B25BE">
        <w:rPr>
          <w:rFonts w:cstheme="minorHAnsi"/>
        </w:rPr>
        <w:t xml:space="preserve"> </w:t>
      </w:r>
      <w:r w:rsidR="007B25BE" w:rsidRPr="007B25BE">
        <w:rPr>
          <w:rFonts w:cstheme="minorHAnsi"/>
        </w:rPr>
        <w:t>April</w:t>
      </w:r>
      <w:r w:rsidR="00794B75" w:rsidRPr="007B25BE">
        <w:rPr>
          <w:rFonts w:cstheme="minorHAnsi"/>
        </w:rPr>
        <w:t xml:space="preserve"> 202</w:t>
      </w:r>
      <w:r w:rsidR="007B25BE" w:rsidRPr="007B25BE">
        <w:rPr>
          <w:rFonts w:cstheme="minorHAnsi"/>
        </w:rPr>
        <w:t>3.</w:t>
      </w:r>
    </w:p>
    <w:p w14:paraId="414FE08C" w14:textId="57F7AAD9" w:rsidR="00DD1440" w:rsidRDefault="00DD1440" w:rsidP="00DD1440">
      <w:pPr>
        <w:spacing w:after="0" w:line="240" w:lineRule="auto"/>
        <w:jc w:val="both"/>
        <w:rPr>
          <w:rFonts w:eastAsia="Times New Roman" w:cstheme="minorHAnsi"/>
          <w:color w:val="000000"/>
          <w:lang w:eastAsia="en-GB"/>
        </w:rPr>
      </w:pPr>
    </w:p>
    <w:p w14:paraId="19BD0318" w14:textId="109BE2DF" w:rsidR="00CF462B" w:rsidRDefault="006F2E4B" w:rsidP="006F2E4B">
      <w:pPr>
        <w:pStyle w:val="Default"/>
        <w:ind w:left="709" w:hanging="709"/>
        <w:rPr>
          <w:sz w:val="28"/>
          <w:szCs w:val="28"/>
        </w:rPr>
      </w:pPr>
      <w:r>
        <w:rPr>
          <w:b/>
          <w:bCs/>
          <w:sz w:val="28"/>
          <w:szCs w:val="28"/>
        </w:rPr>
        <w:t xml:space="preserve">2. </w:t>
      </w:r>
      <w:r>
        <w:rPr>
          <w:b/>
          <w:bCs/>
          <w:sz w:val="28"/>
          <w:szCs w:val="28"/>
        </w:rPr>
        <w:tab/>
      </w:r>
      <w:r w:rsidR="00CF462B">
        <w:rPr>
          <w:b/>
          <w:bCs/>
          <w:sz w:val="28"/>
          <w:szCs w:val="28"/>
        </w:rPr>
        <w:t xml:space="preserve">Remuneration policies and practices </w:t>
      </w:r>
    </w:p>
    <w:p w14:paraId="242AFA60" w14:textId="320DA1F5" w:rsidR="00296037" w:rsidRPr="00296037" w:rsidRDefault="0055699E" w:rsidP="001642FB">
      <w:pPr>
        <w:shd w:val="clear" w:color="auto" w:fill="FFFFFF"/>
        <w:spacing w:after="0" w:line="240" w:lineRule="auto"/>
        <w:jc w:val="both"/>
        <w:rPr>
          <w:rFonts w:eastAsia="Times New Roman" w:cstheme="minorHAnsi"/>
          <w:color w:val="000000"/>
          <w:lang w:eastAsia="en-GB"/>
        </w:rPr>
      </w:pPr>
      <w:r>
        <w:rPr>
          <w:rFonts w:eastAsia="Times New Roman" w:cstheme="minorHAnsi"/>
          <w:color w:val="000000"/>
          <w:lang w:eastAsia="en-GB"/>
        </w:rPr>
        <w:t>HottCo</w:t>
      </w:r>
      <w:r w:rsidR="00B94AEE">
        <w:rPr>
          <w:rFonts w:eastAsia="Times New Roman" w:cstheme="minorHAnsi"/>
          <w:color w:val="000000"/>
          <w:lang w:eastAsia="en-GB"/>
        </w:rPr>
        <w:t xml:space="preserve"> </w:t>
      </w:r>
      <w:r w:rsidR="00296037" w:rsidRPr="00296037">
        <w:rPr>
          <w:rFonts w:eastAsia="Times New Roman" w:cstheme="minorHAnsi"/>
          <w:color w:val="000000"/>
          <w:lang w:eastAsia="en-GB"/>
        </w:rPr>
        <w:t>pays all its staff remuneration</w:t>
      </w:r>
      <w:r w:rsidR="00C14AA9">
        <w:rPr>
          <w:rFonts w:eastAsia="Times New Roman" w:cstheme="minorHAnsi"/>
          <w:color w:val="000000"/>
          <w:lang w:eastAsia="en-GB"/>
        </w:rPr>
        <w:t>,</w:t>
      </w:r>
      <w:r w:rsidR="00296037" w:rsidRPr="00296037">
        <w:rPr>
          <w:rFonts w:eastAsia="Times New Roman" w:cstheme="minorHAnsi"/>
          <w:color w:val="000000"/>
          <w:lang w:eastAsia="en-GB"/>
        </w:rPr>
        <w:t xml:space="preserve"> which comprises a fixed element and can also include a variable </w:t>
      </w:r>
      <w:r w:rsidR="00311934">
        <w:rPr>
          <w:rFonts w:eastAsia="Times New Roman" w:cstheme="minorHAnsi"/>
          <w:color w:val="000000"/>
          <w:lang w:eastAsia="en-GB"/>
        </w:rPr>
        <w:t xml:space="preserve">discretionary </w:t>
      </w:r>
      <w:r w:rsidR="00296037" w:rsidRPr="00296037">
        <w:rPr>
          <w:rFonts w:eastAsia="Times New Roman" w:cstheme="minorHAnsi"/>
          <w:color w:val="000000"/>
          <w:lang w:eastAsia="en-GB"/>
        </w:rPr>
        <w:t>element</w:t>
      </w:r>
      <w:r w:rsidR="001642FB" w:rsidRPr="00296037">
        <w:rPr>
          <w:rFonts w:eastAsia="Times New Roman" w:cstheme="minorHAnsi"/>
          <w:color w:val="000000"/>
          <w:lang w:eastAsia="en-GB"/>
        </w:rPr>
        <w:t xml:space="preserve">. </w:t>
      </w:r>
      <w:r w:rsidR="003B20B7">
        <w:rPr>
          <w:rFonts w:eastAsia="Times New Roman" w:cstheme="minorHAnsi"/>
          <w:color w:val="000000"/>
          <w:lang w:eastAsia="en-GB"/>
        </w:rPr>
        <w:t xml:space="preserve">All remuneration </w:t>
      </w:r>
      <w:r w:rsidR="003B20B7" w:rsidRPr="003B20B7">
        <w:rPr>
          <w:rFonts w:eastAsia="Times New Roman" w:cstheme="minorHAnsi"/>
          <w:color w:val="000000"/>
          <w:lang w:eastAsia="en-GB"/>
        </w:rPr>
        <w:t xml:space="preserve">is </w:t>
      </w:r>
      <w:r w:rsidR="00EB4BBF">
        <w:rPr>
          <w:rFonts w:eastAsia="Times New Roman" w:cstheme="minorHAnsi"/>
          <w:color w:val="000000"/>
          <w:lang w:eastAsia="en-GB"/>
        </w:rPr>
        <w:t xml:space="preserve">overseen </w:t>
      </w:r>
      <w:r w:rsidR="003B20B7" w:rsidRPr="003B20B7">
        <w:rPr>
          <w:rFonts w:eastAsia="Times New Roman" w:cstheme="minorHAnsi"/>
          <w:color w:val="000000"/>
          <w:lang w:eastAsia="en-GB"/>
        </w:rPr>
        <w:t xml:space="preserve">by </w:t>
      </w:r>
      <w:r>
        <w:rPr>
          <w:rFonts w:eastAsia="Times New Roman" w:cstheme="minorHAnsi"/>
          <w:color w:val="000000"/>
          <w:lang w:eastAsia="en-GB"/>
        </w:rPr>
        <w:t>HottCo</w:t>
      </w:r>
      <w:r w:rsidR="003B20B7" w:rsidRPr="003B20B7">
        <w:rPr>
          <w:rFonts w:eastAsia="Times New Roman" w:cstheme="minorHAnsi"/>
          <w:color w:val="000000"/>
          <w:lang w:eastAsia="en-GB"/>
        </w:rPr>
        <w:t>’s management body, its Board of Directors (the Board), in its supervisory function</w:t>
      </w:r>
      <w:r w:rsidR="00EB4BBF">
        <w:rPr>
          <w:rFonts w:eastAsia="Times New Roman" w:cstheme="minorHAnsi"/>
          <w:color w:val="000000"/>
          <w:lang w:eastAsia="en-GB"/>
        </w:rPr>
        <w:t>.</w:t>
      </w:r>
      <w:r w:rsidR="00DD1440">
        <w:rPr>
          <w:rFonts w:eastAsia="Times New Roman" w:cstheme="minorHAnsi"/>
          <w:color w:val="000000"/>
          <w:lang w:eastAsia="en-GB"/>
        </w:rPr>
        <w:t xml:space="preserve"> </w:t>
      </w:r>
      <w:r w:rsidR="00296037" w:rsidRPr="00296037">
        <w:rPr>
          <w:rFonts w:eastAsia="Times New Roman" w:cstheme="minorHAnsi"/>
          <w:color w:val="000000"/>
          <w:lang w:eastAsia="en-GB"/>
        </w:rPr>
        <w:t xml:space="preserve">An employee’s fixed </w:t>
      </w:r>
      <w:r w:rsidR="00C14AA9">
        <w:rPr>
          <w:rFonts w:eastAsia="Times New Roman" w:cstheme="minorHAnsi"/>
          <w:color w:val="000000"/>
          <w:lang w:eastAsia="en-GB"/>
        </w:rPr>
        <w:t xml:space="preserve">remuneration </w:t>
      </w:r>
      <w:r w:rsidR="00296037" w:rsidRPr="00296037">
        <w:rPr>
          <w:rFonts w:eastAsia="Times New Roman" w:cstheme="minorHAnsi"/>
          <w:color w:val="000000"/>
          <w:lang w:eastAsia="en-GB"/>
        </w:rPr>
        <w:t>element is based on pre-determined criteria. It is non-discretionary, transparent, permanent for the year and subject to an annual review, whereby any possible increase is assessed.</w:t>
      </w:r>
      <w:r w:rsidR="00EB4BBF">
        <w:rPr>
          <w:rFonts w:eastAsia="Times New Roman" w:cstheme="minorHAnsi"/>
          <w:color w:val="000000"/>
          <w:lang w:eastAsia="en-GB"/>
        </w:rPr>
        <w:t xml:space="preserve"> </w:t>
      </w:r>
      <w:r w:rsidR="00296037" w:rsidRPr="00296037">
        <w:rPr>
          <w:rFonts w:eastAsia="Times New Roman" w:cstheme="minorHAnsi"/>
          <w:color w:val="000000"/>
          <w:lang w:eastAsia="en-GB"/>
        </w:rPr>
        <w:t>The fixed remuneration reflects a staff member’s professional knowledge and experience, their skills, the requirements of the particular role for which they are employed, their qualifications, and his</w:t>
      </w:r>
      <w:r>
        <w:rPr>
          <w:rFonts w:eastAsia="Times New Roman" w:cstheme="minorHAnsi"/>
          <w:color w:val="000000"/>
          <w:lang w:eastAsia="en-GB"/>
        </w:rPr>
        <w:t xml:space="preserve"> or </w:t>
      </w:r>
      <w:r w:rsidR="00296037" w:rsidRPr="00296037">
        <w:rPr>
          <w:rFonts w:eastAsia="Times New Roman" w:cstheme="minorHAnsi"/>
          <w:color w:val="000000"/>
          <w:lang w:eastAsia="en-GB"/>
        </w:rPr>
        <w:t>her organisational responsibilities as set out in the staff member’s job description and terms and conditions of employment.</w:t>
      </w:r>
    </w:p>
    <w:p w14:paraId="1DDB9649" w14:textId="77777777" w:rsidR="00311934" w:rsidRDefault="00311934" w:rsidP="001642FB">
      <w:pPr>
        <w:shd w:val="clear" w:color="auto" w:fill="FFFFFF"/>
        <w:spacing w:after="0" w:line="240" w:lineRule="auto"/>
        <w:jc w:val="both"/>
        <w:rPr>
          <w:rFonts w:eastAsia="Times New Roman" w:cstheme="minorHAnsi"/>
          <w:color w:val="000000"/>
          <w:lang w:eastAsia="en-GB"/>
        </w:rPr>
      </w:pPr>
    </w:p>
    <w:p w14:paraId="6A91A826" w14:textId="75DB290E" w:rsidR="00EB4BBF" w:rsidRDefault="00296037" w:rsidP="001642FB">
      <w:pPr>
        <w:shd w:val="clear" w:color="auto" w:fill="FFFFFF"/>
        <w:spacing w:after="0" w:line="240" w:lineRule="auto"/>
        <w:jc w:val="both"/>
        <w:rPr>
          <w:rFonts w:eastAsia="Times New Roman" w:cstheme="minorHAnsi"/>
          <w:color w:val="000000"/>
          <w:lang w:eastAsia="en-GB"/>
        </w:rPr>
      </w:pPr>
      <w:r w:rsidRPr="00296037">
        <w:rPr>
          <w:rFonts w:eastAsia="Times New Roman" w:cstheme="minorHAnsi"/>
          <w:color w:val="000000"/>
          <w:lang w:eastAsia="en-GB"/>
        </w:rPr>
        <w:t>All </w:t>
      </w:r>
      <w:r w:rsidR="004A3EEE" w:rsidRPr="004A3EEE">
        <w:rPr>
          <w:rFonts w:eastAsia="Times New Roman" w:cstheme="minorHAnsi"/>
          <w:color w:val="000000"/>
          <w:lang w:eastAsia="en-GB"/>
        </w:rPr>
        <w:t>staff</w:t>
      </w:r>
      <w:r w:rsidRPr="00296037">
        <w:rPr>
          <w:rFonts w:eastAsia="Times New Roman" w:cstheme="minorHAnsi"/>
          <w:color w:val="000000"/>
          <w:lang w:eastAsia="en-GB"/>
        </w:rPr>
        <w:t xml:space="preserve"> can receive variable remuneration in the form of an annual discretionary bonus. </w:t>
      </w:r>
      <w:r w:rsidR="004A3EEE" w:rsidRPr="004A3EEE">
        <w:rPr>
          <w:rFonts w:eastAsia="Times New Roman" w:cstheme="minorHAnsi"/>
          <w:color w:val="000000"/>
          <w:lang w:eastAsia="en-GB"/>
        </w:rPr>
        <w:t xml:space="preserve">An employee’s </w:t>
      </w:r>
      <w:r w:rsidR="004A3EEE">
        <w:rPr>
          <w:rFonts w:eastAsia="Times New Roman" w:cstheme="minorHAnsi"/>
          <w:color w:val="000000"/>
          <w:lang w:eastAsia="en-GB"/>
        </w:rPr>
        <w:t xml:space="preserve">variable </w:t>
      </w:r>
      <w:r w:rsidR="004A3EEE" w:rsidRPr="004A3EEE">
        <w:rPr>
          <w:rFonts w:eastAsia="Times New Roman" w:cstheme="minorHAnsi"/>
          <w:color w:val="000000"/>
          <w:lang w:eastAsia="en-GB"/>
        </w:rPr>
        <w:t xml:space="preserve">element of their remuneration is </w:t>
      </w:r>
      <w:r w:rsidR="004A3EEE">
        <w:rPr>
          <w:rFonts w:eastAsia="Times New Roman" w:cstheme="minorHAnsi"/>
          <w:color w:val="000000"/>
          <w:lang w:eastAsia="en-GB"/>
        </w:rPr>
        <w:t xml:space="preserve">also </w:t>
      </w:r>
      <w:r w:rsidR="004A3EEE" w:rsidRPr="004A3EEE">
        <w:rPr>
          <w:rFonts w:eastAsia="Times New Roman" w:cstheme="minorHAnsi"/>
          <w:color w:val="000000"/>
          <w:lang w:eastAsia="en-GB"/>
        </w:rPr>
        <w:t>based on pre-determined criteria.</w:t>
      </w:r>
      <w:r w:rsidR="004A3EEE">
        <w:rPr>
          <w:rFonts w:eastAsia="Times New Roman" w:cstheme="minorHAnsi"/>
          <w:color w:val="000000"/>
          <w:lang w:eastAsia="en-GB"/>
        </w:rPr>
        <w:t xml:space="preserve"> </w:t>
      </w:r>
      <w:r w:rsidR="00EB4BBF" w:rsidRPr="00EB4BBF">
        <w:rPr>
          <w:rFonts w:eastAsia="Times New Roman" w:cstheme="minorHAnsi"/>
          <w:color w:val="000000"/>
          <w:lang w:eastAsia="en-GB"/>
        </w:rPr>
        <w:t xml:space="preserve">The variable </w:t>
      </w:r>
      <w:r w:rsidR="00EB4BBF">
        <w:rPr>
          <w:rFonts w:eastAsia="Times New Roman" w:cstheme="minorHAnsi"/>
          <w:color w:val="000000"/>
          <w:lang w:eastAsia="en-GB"/>
        </w:rPr>
        <w:t>element</w:t>
      </w:r>
      <w:r w:rsidR="00EB4BBF" w:rsidRPr="00EB4BBF">
        <w:rPr>
          <w:rFonts w:eastAsia="Times New Roman" w:cstheme="minorHAnsi"/>
          <w:color w:val="000000"/>
          <w:lang w:eastAsia="en-GB"/>
        </w:rPr>
        <w:t xml:space="preserve"> aims to motivate and reward high performers who strengthen long-term client relations, generate income and increase customer value. The performance will be assessed on the basis of the fulfilment of various business targets or the attainment of certain financial and non-financial objectives. Such targets will be set by </w:t>
      </w:r>
      <w:r w:rsidR="0055699E">
        <w:rPr>
          <w:rFonts w:eastAsia="Times New Roman" w:cstheme="minorHAnsi"/>
          <w:color w:val="000000"/>
          <w:lang w:eastAsia="en-GB"/>
        </w:rPr>
        <w:t>HottCo</w:t>
      </w:r>
      <w:r w:rsidR="00EB4BBF" w:rsidRPr="00EB4BBF">
        <w:rPr>
          <w:rFonts w:eastAsia="Times New Roman" w:cstheme="minorHAnsi"/>
          <w:color w:val="000000"/>
          <w:lang w:eastAsia="en-GB"/>
        </w:rPr>
        <w:t>’s senior management</w:t>
      </w:r>
      <w:r w:rsidR="00C14AA9">
        <w:rPr>
          <w:rFonts w:eastAsia="Times New Roman" w:cstheme="minorHAnsi"/>
          <w:color w:val="000000"/>
          <w:lang w:eastAsia="en-GB"/>
        </w:rPr>
        <w:t>.</w:t>
      </w:r>
    </w:p>
    <w:p w14:paraId="43C2C921" w14:textId="77777777" w:rsidR="00EB4BBF" w:rsidRDefault="00EB4BBF" w:rsidP="001642FB">
      <w:pPr>
        <w:shd w:val="clear" w:color="auto" w:fill="FFFFFF"/>
        <w:spacing w:after="0" w:line="240" w:lineRule="auto"/>
        <w:jc w:val="both"/>
        <w:rPr>
          <w:rFonts w:eastAsia="Times New Roman" w:cstheme="minorHAnsi"/>
          <w:color w:val="000000"/>
          <w:lang w:eastAsia="en-GB"/>
        </w:rPr>
      </w:pPr>
    </w:p>
    <w:p w14:paraId="238AA812" w14:textId="63A40E80" w:rsidR="00296037" w:rsidRPr="00296037" w:rsidRDefault="00296037" w:rsidP="001642FB">
      <w:pPr>
        <w:shd w:val="clear" w:color="auto" w:fill="FFFFFF"/>
        <w:spacing w:after="0" w:line="240" w:lineRule="auto"/>
        <w:jc w:val="both"/>
        <w:rPr>
          <w:rFonts w:eastAsia="Times New Roman" w:cstheme="minorHAnsi"/>
          <w:color w:val="000000"/>
          <w:lang w:eastAsia="en-GB"/>
        </w:rPr>
      </w:pPr>
      <w:r w:rsidRPr="00296037">
        <w:rPr>
          <w:rFonts w:eastAsia="Times New Roman" w:cstheme="minorHAnsi"/>
          <w:color w:val="000000"/>
          <w:lang w:eastAsia="en-GB"/>
        </w:rPr>
        <w:t xml:space="preserve">There are no staff members paid only variable </w:t>
      </w:r>
      <w:r w:rsidR="00C14AA9">
        <w:rPr>
          <w:rFonts w:eastAsia="Times New Roman" w:cstheme="minorHAnsi"/>
          <w:color w:val="000000"/>
          <w:lang w:eastAsia="en-GB"/>
        </w:rPr>
        <w:t xml:space="preserve">discretionary </w:t>
      </w:r>
      <w:r w:rsidRPr="00296037">
        <w:rPr>
          <w:rFonts w:eastAsia="Times New Roman" w:cstheme="minorHAnsi"/>
          <w:color w:val="000000"/>
          <w:lang w:eastAsia="en-GB"/>
        </w:rPr>
        <w:t xml:space="preserve">remuneration, and fixed remuneration levels are set at levels sufficient to ensure there should be no dependency by employees on their receiving variable </w:t>
      </w:r>
      <w:r w:rsidR="00C14AA9">
        <w:rPr>
          <w:rFonts w:eastAsia="Times New Roman" w:cstheme="minorHAnsi"/>
          <w:color w:val="000000"/>
          <w:lang w:eastAsia="en-GB"/>
        </w:rPr>
        <w:t xml:space="preserve">discretionary </w:t>
      </w:r>
      <w:r w:rsidRPr="00296037">
        <w:rPr>
          <w:rFonts w:eastAsia="Times New Roman" w:cstheme="minorHAnsi"/>
          <w:color w:val="000000"/>
          <w:lang w:eastAsia="en-GB"/>
        </w:rPr>
        <w:t>remuneration in order to be able to live</w:t>
      </w:r>
      <w:r w:rsidR="001642FB" w:rsidRPr="00296037">
        <w:rPr>
          <w:rFonts w:eastAsia="Times New Roman" w:cstheme="minorHAnsi"/>
          <w:color w:val="000000"/>
          <w:lang w:eastAsia="en-GB"/>
        </w:rPr>
        <w:t xml:space="preserve">. </w:t>
      </w:r>
      <w:r w:rsidR="003B20B7">
        <w:rPr>
          <w:rFonts w:eastAsia="Times New Roman" w:cstheme="minorHAnsi"/>
          <w:color w:val="000000"/>
          <w:lang w:eastAsia="en-GB"/>
        </w:rPr>
        <w:t>V</w:t>
      </w:r>
      <w:r w:rsidR="003B20B7" w:rsidRPr="003B20B7">
        <w:rPr>
          <w:rFonts w:eastAsia="Times New Roman" w:cstheme="minorHAnsi"/>
          <w:color w:val="000000"/>
          <w:lang w:eastAsia="en-GB"/>
        </w:rPr>
        <w:t xml:space="preserve">ariable </w:t>
      </w:r>
      <w:r w:rsidR="003B20B7">
        <w:rPr>
          <w:rFonts w:eastAsia="Times New Roman" w:cstheme="minorHAnsi"/>
          <w:color w:val="000000"/>
          <w:lang w:eastAsia="en-GB"/>
        </w:rPr>
        <w:t xml:space="preserve">discretionary </w:t>
      </w:r>
      <w:r w:rsidR="003B20B7" w:rsidRPr="003B20B7">
        <w:rPr>
          <w:rFonts w:eastAsia="Times New Roman" w:cstheme="minorHAnsi"/>
          <w:color w:val="000000"/>
          <w:lang w:eastAsia="en-GB"/>
        </w:rPr>
        <w:t xml:space="preserve">remuneration is only paid from risk adjusted profits based upon the performance of the business as a whole, and the individual, and only after </w:t>
      </w:r>
      <w:r w:rsidR="0055699E">
        <w:rPr>
          <w:rFonts w:eastAsia="Times New Roman" w:cstheme="minorHAnsi"/>
          <w:color w:val="000000"/>
          <w:lang w:eastAsia="en-GB"/>
        </w:rPr>
        <w:t>HottCo</w:t>
      </w:r>
      <w:r w:rsidR="003B20B7" w:rsidRPr="003B20B7">
        <w:rPr>
          <w:rFonts w:eastAsia="Times New Roman" w:cstheme="minorHAnsi"/>
          <w:color w:val="000000"/>
          <w:lang w:eastAsia="en-GB"/>
        </w:rPr>
        <w:t>’s liquidity and capital requirements and its risk appetite and strategy have been considered on a 12-month rolling period.</w:t>
      </w:r>
    </w:p>
    <w:p w14:paraId="04F60D90" w14:textId="77777777" w:rsidR="004A3EEE" w:rsidRDefault="004A3EEE" w:rsidP="001642FB">
      <w:pPr>
        <w:shd w:val="clear" w:color="auto" w:fill="FFFFFF"/>
        <w:spacing w:after="0" w:line="240" w:lineRule="auto"/>
        <w:jc w:val="both"/>
        <w:rPr>
          <w:rFonts w:eastAsia="Times New Roman" w:cstheme="minorHAnsi"/>
          <w:color w:val="000000"/>
          <w:lang w:eastAsia="en-GB"/>
        </w:rPr>
      </w:pPr>
    </w:p>
    <w:p w14:paraId="77A11F1E" w14:textId="77777777" w:rsidR="00940502" w:rsidRDefault="00296037" w:rsidP="001642FB">
      <w:pPr>
        <w:shd w:val="clear" w:color="auto" w:fill="FFFFFF"/>
        <w:spacing w:after="0" w:line="240" w:lineRule="auto"/>
        <w:jc w:val="both"/>
        <w:rPr>
          <w:rFonts w:eastAsia="Times New Roman" w:cstheme="minorHAnsi"/>
          <w:color w:val="000000"/>
          <w:lang w:eastAsia="en-GB"/>
        </w:rPr>
      </w:pPr>
      <w:r w:rsidRPr="00296037">
        <w:rPr>
          <w:rFonts w:eastAsia="Times New Roman" w:cstheme="minorHAnsi"/>
          <w:color w:val="000000"/>
          <w:lang w:eastAsia="en-GB"/>
        </w:rPr>
        <w:t xml:space="preserve">Annual reviews are in place to assess whether an individual has achieved their goals </w:t>
      </w:r>
      <w:r w:rsidR="004A3EEE">
        <w:rPr>
          <w:rFonts w:eastAsia="Times New Roman" w:cstheme="minorHAnsi"/>
          <w:color w:val="000000"/>
          <w:lang w:eastAsia="en-GB"/>
        </w:rPr>
        <w:t xml:space="preserve">and </w:t>
      </w:r>
      <w:r w:rsidRPr="00296037">
        <w:rPr>
          <w:rFonts w:eastAsia="Times New Roman" w:cstheme="minorHAnsi"/>
          <w:color w:val="000000"/>
          <w:lang w:eastAsia="en-GB"/>
        </w:rPr>
        <w:t>objectives; met the core competencies required in their particular role; undertaken all required training (particularly regulatory training</w:t>
      </w:r>
      <w:r w:rsidR="004A3EEE" w:rsidRPr="00296037">
        <w:rPr>
          <w:rFonts w:eastAsia="Times New Roman" w:cstheme="minorHAnsi"/>
          <w:color w:val="000000"/>
          <w:lang w:eastAsia="en-GB"/>
        </w:rPr>
        <w:t>) and</w:t>
      </w:r>
      <w:r w:rsidRPr="00296037">
        <w:rPr>
          <w:rFonts w:eastAsia="Times New Roman" w:cstheme="minorHAnsi"/>
          <w:color w:val="000000"/>
          <w:lang w:eastAsia="en-GB"/>
        </w:rPr>
        <w:t xml:space="preserve"> assess any future development needs. </w:t>
      </w:r>
    </w:p>
    <w:p w14:paraId="7F84A9B5" w14:textId="6F1E4745" w:rsidR="004A3EEE" w:rsidRDefault="00296037" w:rsidP="001642FB">
      <w:pPr>
        <w:shd w:val="clear" w:color="auto" w:fill="FFFFFF"/>
        <w:spacing w:after="0" w:line="240" w:lineRule="auto"/>
        <w:jc w:val="both"/>
        <w:rPr>
          <w:rFonts w:eastAsia="Times New Roman" w:cstheme="minorHAnsi"/>
          <w:color w:val="000000"/>
          <w:lang w:eastAsia="en-GB"/>
        </w:rPr>
      </w:pPr>
      <w:r w:rsidRPr="00296037">
        <w:rPr>
          <w:rFonts w:eastAsia="Times New Roman" w:cstheme="minorHAnsi"/>
          <w:color w:val="000000"/>
          <w:lang w:eastAsia="en-GB"/>
        </w:rPr>
        <w:lastRenderedPageBreak/>
        <w:t xml:space="preserve">The annual reviews are in compliance with the </w:t>
      </w:r>
      <w:r w:rsidR="00EB4BBF">
        <w:rPr>
          <w:rFonts w:eastAsia="Times New Roman" w:cstheme="minorHAnsi"/>
          <w:color w:val="000000"/>
          <w:lang w:eastAsia="en-GB"/>
        </w:rPr>
        <w:t>Financial Conduct Authority (</w:t>
      </w:r>
      <w:r w:rsidRPr="00296037">
        <w:rPr>
          <w:rFonts w:eastAsia="Times New Roman" w:cstheme="minorHAnsi"/>
          <w:color w:val="000000"/>
          <w:lang w:eastAsia="en-GB"/>
        </w:rPr>
        <w:t>FCA</w:t>
      </w:r>
      <w:r w:rsidR="00EB4BBF">
        <w:rPr>
          <w:rFonts w:eastAsia="Times New Roman" w:cstheme="minorHAnsi"/>
          <w:color w:val="000000"/>
          <w:lang w:eastAsia="en-GB"/>
        </w:rPr>
        <w:t>)</w:t>
      </w:r>
      <w:r w:rsidRPr="00296037">
        <w:rPr>
          <w:rFonts w:eastAsia="Times New Roman" w:cstheme="minorHAnsi"/>
          <w:color w:val="000000"/>
          <w:lang w:eastAsia="en-GB"/>
        </w:rPr>
        <w:t xml:space="preserve"> requirements and include an assessment of </w:t>
      </w:r>
      <w:r w:rsidR="004A3EEE">
        <w:rPr>
          <w:rFonts w:eastAsia="Times New Roman" w:cstheme="minorHAnsi"/>
          <w:color w:val="000000"/>
          <w:lang w:eastAsia="en-GB"/>
        </w:rPr>
        <w:t xml:space="preserve">competence and </w:t>
      </w:r>
      <w:r w:rsidRPr="00296037">
        <w:rPr>
          <w:rFonts w:eastAsia="Times New Roman" w:cstheme="minorHAnsi"/>
          <w:color w:val="000000"/>
          <w:lang w:eastAsia="en-GB"/>
        </w:rPr>
        <w:t xml:space="preserve">fitness </w:t>
      </w:r>
      <w:r w:rsidR="004A3EEE">
        <w:rPr>
          <w:rFonts w:eastAsia="Times New Roman" w:cstheme="minorHAnsi"/>
          <w:color w:val="000000"/>
          <w:lang w:eastAsia="en-GB"/>
        </w:rPr>
        <w:t xml:space="preserve">and </w:t>
      </w:r>
      <w:r w:rsidRPr="00296037">
        <w:rPr>
          <w:rFonts w:eastAsia="Times New Roman" w:cstheme="minorHAnsi"/>
          <w:color w:val="000000"/>
          <w:lang w:eastAsia="en-GB"/>
        </w:rPr>
        <w:t>propriety for roles that fall under the Senior Managers &amp; Certification Regime (SMCR)</w:t>
      </w:r>
      <w:r w:rsidR="0055699E">
        <w:rPr>
          <w:rFonts w:eastAsia="Times New Roman" w:cstheme="minorHAnsi"/>
          <w:color w:val="000000"/>
          <w:lang w:eastAsia="en-GB"/>
        </w:rPr>
        <w:t xml:space="preserve"> as well as those in HottCo’s business that are outside the SMCR</w:t>
      </w:r>
      <w:r w:rsidR="004A3EEE">
        <w:rPr>
          <w:rFonts w:eastAsia="Times New Roman" w:cstheme="minorHAnsi"/>
          <w:color w:val="000000"/>
          <w:lang w:eastAsia="en-GB"/>
        </w:rPr>
        <w:t>.</w:t>
      </w:r>
    </w:p>
    <w:p w14:paraId="16158844" w14:textId="77777777" w:rsidR="004A3EEE" w:rsidRDefault="004A3EEE" w:rsidP="001642FB">
      <w:pPr>
        <w:shd w:val="clear" w:color="auto" w:fill="FFFFFF"/>
        <w:spacing w:after="0" w:line="240" w:lineRule="auto"/>
        <w:jc w:val="both"/>
        <w:rPr>
          <w:rFonts w:eastAsia="Times New Roman" w:cstheme="minorHAnsi"/>
          <w:color w:val="000000"/>
          <w:lang w:eastAsia="en-GB"/>
        </w:rPr>
      </w:pPr>
    </w:p>
    <w:p w14:paraId="59BD3DF2" w14:textId="72C029E5" w:rsidR="00296037" w:rsidRDefault="0055699E" w:rsidP="001642FB">
      <w:pPr>
        <w:shd w:val="clear" w:color="auto" w:fill="FFFFFF"/>
        <w:spacing w:after="0" w:line="240" w:lineRule="auto"/>
        <w:jc w:val="both"/>
        <w:rPr>
          <w:rFonts w:eastAsia="Times New Roman" w:cstheme="minorHAnsi"/>
          <w:color w:val="000000"/>
          <w:lang w:eastAsia="en-GB"/>
        </w:rPr>
      </w:pPr>
      <w:r>
        <w:rPr>
          <w:rFonts w:eastAsia="Times New Roman" w:cstheme="minorHAnsi"/>
          <w:color w:val="000000"/>
          <w:lang w:eastAsia="en-GB"/>
        </w:rPr>
        <w:t>HottCo</w:t>
      </w:r>
      <w:r w:rsidR="004A3EEE">
        <w:rPr>
          <w:rFonts w:eastAsia="Times New Roman" w:cstheme="minorHAnsi"/>
          <w:color w:val="000000"/>
          <w:lang w:eastAsia="en-GB"/>
        </w:rPr>
        <w:t xml:space="preserve"> </w:t>
      </w:r>
      <w:r w:rsidR="00296037" w:rsidRPr="00296037">
        <w:rPr>
          <w:rFonts w:eastAsia="Times New Roman" w:cstheme="minorHAnsi"/>
          <w:color w:val="000000"/>
          <w:lang w:eastAsia="en-GB"/>
        </w:rPr>
        <w:t>deems the following non-financial qualitative metrics to be relevant to its strategic objectives and therefore includes them in the annual review criteria for individuals:</w:t>
      </w:r>
    </w:p>
    <w:p w14:paraId="247EE83A" w14:textId="77777777" w:rsidR="004A3EEE" w:rsidRPr="00296037" w:rsidRDefault="004A3EEE" w:rsidP="001642FB">
      <w:pPr>
        <w:shd w:val="clear" w:color="auto" w:fill="FFFFFF"/>
        <w:spacing w:after="0" w:line="240" w:lineRule="auto"/>
        <w:jc w:val="both"/>
        <w:rPr>
          <w:rFonts w:eastAsia="Times New Roman" w:cstheme="minorHAnsi"/>
          <w:color w:val="000000"/>
          <w:lang w:eastAsia="en-GB"/>
        </w:rPr>
      </w:pPr>
      <w:bookmarkStart w:id="0" w:name="_Hlk102897996"/>
    </w:p>
    <w:p w14:paraId="1E4ADC5A" w14:textId="16D0817B" w:rsidR="00DD1440" w:rsidRDefault="00853B18" w:rsidP="00697341">
      <w:pPr>
        <w:numPr>
          <w:ilvl w:val="0"/>
          <w:numId w:val="1"/>
        </w:numPr>
        <w:shd w:val="clear" w:color="auto" w:fill="FFFFFF"/>
        <w:spacing w:after="0" w:line="240" w:lineRule="auto"/>
        <w:ind w:hanging="720"/>
        <w:jc w:val="both"/>
        <w:rPr>
          <w:rFonts w:eastAsia="Times New Roman" w:cstheme="minorHAnsi"/>
          <w:color w:val="000000"/>
          <w:lang w:eastAsia="en-GB"/>
        </w:rPr>
      </w:pPr>
      <w:r w:rsidRPr="00DD1440">
        <w:rPr>
          <w:rFonts w:eastAsia="Times New Roman" w:cstheme="minorHAnsi"/>
          <w:color w:val="000000"/>
          <w:lang w:eastAsia="en-GB"/>
        </w:rPr>
        <w:t>M</w:t>
      </w:r>
      <w:r w:rsidR="00296037" w:rsidRPr="00296037">
        <w:rPr>
          <w:rFonts w:eastAsia="Times New Roman" w:cstheme="minorHAnsi"/>
          <w:color w:val="000000"/>
          <w:lang w:eastAsia="en-GB"/>
        </w:rPr>
        <w:t xml:space="preserve">eeting </w:t>
      </w:r>
      <w:r w:rsidR="0055699E">
        <w:rPr>
          <w:rFonts w:eastAsia="Times New Roman" w:cstheme="minorHAnsi"/>
          <w:color w:val="000000"/>
          <w:lang w:eastAsia="en-GB"/>
        </w:rPr>
        <w:t>HottCo</w:t>
      </w:r>
      <w:r w:rsidR="00296037" w:rsidRPr="00296037">
        <w:rPr>
          <w:rFonts w:eastAsia="Times New Roman" w:cstheme="minorHAnsi"/>
          <w:color w:val="000000"/>
          <w:lang w:eastAsia="en-GB"/>
        </w:rPr>
        <w:t xml:space="preserve">’s regulatory obligations (such as </w:t>
      </w:r>
      <w:r w:rsidR="006F2E4B">
        <w:rPr>
          <w:rFonts w:eastAsia="Times New Roman" w:cstheme="minorHAnsi"/>
          <w:color w:val="000000"/>
          <w:lang w:eastAsia="en-GB"/>
        </w:rPr>
        <w:t xml:space="preserve">individual conduct; </w:t>
      </w:r>
      <w:r w:rsidR="00296037" w:rsidRPr="00296037">
        <w:rPr>
          <w:rFonts w:eastAsia="Times New Roman" w:cstheme="minorHAnsi"/>
          <w:color w:val="000000"/>
          <w:lang w:eastAsia="en-GB"/>
        </w:rPr>
        <w:t>treating clients fairly; no upheld complaints; compliance with any stipulations set by the Compliance Officer, etc);</w:t>
      </w:r>
    </w:p>
    <w:p w14:paraId="7959B8D4" w14:textId="210A1456" w:rsidR="00296037" w:rsidRPr="00296037" w:rsidRDefault="00853B18" w:rsidP="00697341">
      <w:pPr>
        <w:numPr>
          <w:ilvl w:val="0"/>
          <w:numId w:val="1"/>
        </w:numPr>
        <w:shd w:val="clear" w:color="auto" w:fill="FFFFFF"/>
        <w:spacing w:after="0" w:line="240" w:lineRule="auto"/>
        <w:ind w:hanging="720"/>
        <w:jc w:val="both"/>
        <w:rPr>
          <w:rFonts w:eastAsia="Times New Roman" w:cstheme="minorHAnsi"/>
          <w:color w:val="000000"/>
          <w:lang w:eastAsia="en-GB"/>
        </w:rPr>
      </w:pPr>
      <w:r w:rsidRPr="00DD1440">
        <w:rPr>
          <w:rFonts w:eastAsia="Times New Roman" w:cstheme="minorHAnsi"/>
          <w:color w:val="000000"/>
          <w:lang w:eastAsia="en-GB"/>
        </w:rPr>
        <w:t>O</w:t>
      </w:r>
      <w:r w:rsidR="00296037" w:rsidRPr="00296037">
        <w:rPr>
          <w:rFonts w:eastAsia="Times New Roman" w:cstheme="minorHAnsi"/>
          <w:color w:val="000000"/>
          <w:lang w:eastAsia="en-GB"/>
        </w:rPr>
        <w:t xml:space="preserve">bserving and adhering to </w:t>
      </w:r>
      <w:r w:rsidR="0055699E">
        <w:rPr>
          <w:rFonts w:eastAsia="Times New Roman" w:cstheme="minorHAnsi"/>
          <w:color w:val="000000"/>
          <w:lang w:eastAsia="en-GB"/>
        </w:rPr>
        <w:t>HottCo</w:t>
      </w:r>
      <w:r w:rsidR="00296037" w:rsidRPr="00296037">
        <w:rPr>
          <w:rFonts w:eastAsia="Times New Roman" w:cstheme="minorHAnsi"/>
          <w:color w:val="000000"/>
          <w:lang w:eastAsia="en-GB"/>
        </w:rPr>
        <w:t>’s risk management and compliance policies</w:t>
      </w:r>
      <w:r w:rsidR="001642FB" w:rsidRPr="00DD1440">
        <w:rPr>
          <w:rFonts w:eastAsia="Times New Roman" w:cstheme="minorHAnsi"/>
          <w:color w:val="000000"/>
          <w:lang w:eastAsia="en-GB"/>
        </w:rPr>
        <w:t>,</w:t>
      </w:r>
      <w:r w:rsidR="00296037" w:rsidRPr="00296037">
        <w:rPr>
          <w:rFonts w:eastAsia="Times New Roman" w:cstheme="minorHAnsi"/>
          <w:color w:val="000000"/>
          <w:lang w:eastAsia="en-GB"/>
        </w:rPr>
        <w:t xml:space="preserve"> and systems and controls that are in place; </w:t>
      </w:r>
    </w:p>
    <w:p w14:paraId="02149056" w14:textId="12E71738" w:rsidR="00296037" w:rsidRPr="00296037"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Pr>
          <w:rFonts w:eastAsia="Times New Roman" w:cstheme="minorHAnsi"/>
          <w:color w:val="000000"/>
          <w:lang w:eastAsia="en-GB"/>
        </w:rPr>
        <w:t>O</w:t>
      </w:r>
      <w:r w:rsidR="00296037" w:rsidRPr="00296037">
        <w:rPr>
          <w:rFonts w:eastAsia="Times New Roman" w:cstheme="minorHAnsi"/>
          <w:color w:val="000000"/>
          <w:lang w:eastAsia="en-GB"/>
        </w:rPr>
        <w:t>bserving and adhering to the compliance and governance procedures that are in place.</w:t>
      </w:r>
    </w:p>
    <w:p w14:paraId="54DB3C98" w14:textId="77777777" w:rsidR="00853B18" w:rsidRDefault="00296037"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296037">
        <w:rPr>
          <w:rFonts w:eastAsia="Times New Roman" w:cstheme="minorHAnsi"/>
          <w:color w:val="000000"/>
          <w:lang w:eastAsia="en-GB"/>
        </w:rPr>
        <w:t>Not having been subject to any disciplinary action or breached any of the Financial Conduct Authorities (FCA) conduct rules</w:t>
      </w:r>
      <w:r w:rsidR="00853B18" w:rsidRPr="00853B18">
        <w:rPr>
          <w:rFonts w:eastAsia="Times New Roman" w:cstheme="minorHAnsi"/>
          <w:color w:val="000000"/>
          <w:lang w:eastAsia="en-GB"/>
        </w:rPr>
        <w:t xml:space="preserve">; </w:t>
      </w:r>
    </w:p>
    <w:p w14:paraId="257D8B08" w14:textId="77777777" w:rsidR="00853B18"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853B18">
        <w:rPr>
          <w:rFonts w:eastAsia="Times New Roman" w:cstheme="minorHAnsi"/>
          <w:color w:val="000000"/>
          <w:lang w:eastAsia="en-GB"/>
        </w:rPr>
        <w:t xml:space="preserve">Measures relating to building and maintaining positive external relationships with vendors, fund managers and investors; </w:t>
      </w:r>
    </w:p>
    <w:p w14:paraId="62DCFF6F" w14:textId="076A5DE6" w:rsidR="00853B18"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853B18">
        <w:rPr>
          <w:rFonts w:eastAsia="Times New Roman" w:cstheme="minorHAnsi"/>
          <w:color w:val="000000"/>
          <w:lang w:eastAsia="en-GB"/>
        </w:rPr>
        <w:t xml:space="preserve">Performance in line with </w:t>
      </w:r>
      <w:r w:rsidR="0055699E">
        <w:rPr>
          <w:rFonts w:eastAsia="Times New Roman" w:cstheme="minorHAnsi"/>
          <w:color w:val="000000"/>
          <w:lang w:eastAsia="en-GB"/>
        </w:rPr>
        <w:t>HottCo</w:t>
      </w:r>
      <w:r>
        <w:rPr>
          <w:rFonts w:eastAsia="Times New Roman" w:cstheme="minorHAnsi"/>
          <w:color w:val="000000"/>
          <w:lang w:eastAsia="en-GB"/>
        </w:rPr>
        <w:t>’s</w:t>
      </w:r>
      <w:r w:rsidRPr="00853B18">
        <w:rPr>
          <w:rFonts w:eastAsia="Times New Roman" w:cstheme="minorHAnsi"/>
          <w:color w:val="000000"/>
          <w:lang w:eastAsia="en-GB"/>
        </w:rPr>
        <w:t xml:space="preserve"> strategy or values, good role model following </w:t>
      </w:r>
      <w:r w:rsidR="0055699E">
        <w:rPr>
          <w:rFonts w:eastAsia="Times New Roman" w:cstheme="minorHAnsi"/>
          <w:color w:val="000000"/>
          <w:lang w:eastAsia="en-GB"/>
        </w:rPr>
        <w:t>HottCo’s</w:t>
      </w:r>
      <w:r w:rsidRPr="00853B18">
        <w:rPr>
          <w:rFonts w:eastAsia="Times New Roman" w:cstheme="minorHAnsi"/>
          <w:color w:val="000000"/>
          <w:lang w:eastAsia="en-GB"/>
        </w:rPr>
        <w:t xml:space="preserve"> process to ensure no risks are taken and no compliance is ignored;</w:t>
      </w:r>
    </w:p>
    <w:p w14:paraId="689B89AD" w14:textId="77777777" w:rsidR="00853B18"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853B18">
        <w:rPr>
          <w:rFonts w:eastAsia="Times New Roman" w:cstheme="minorHAnsi"/>
          <w:color w:val="000000"/>
          <w:lang w:eastAsia="en-GB"/>
        </w:rPr>
        <w:t xml:space="preserve">Prompt and transparent response on regulatory compliance attestations; </w:t>
      </w:r>
    </w:p>
    <w:p w14:paraId="3F5CE565" w14:textId="77777777" w:rsidR="00853B18"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853B18">
        <w:rPr>
          <w:rFonts w:eastAsia="Times New Roman" w:cstheme="minorHAnsi"/>
          <w:color w:val="000000"/>
          <w:lang w:eastAsia="en-GB"/>
        </w:rPr>
        <w:t xml:space="preserve">Prompt completion of any training administered to the individual; and </w:t>
      </w:r>
    </w:p>
    <w:p w14:paraId="69E540F2" w14:textId="71DA35B1" w:rsidR="00853B18" w:rsidRPr="00853B18" w:rsidRDefault="00853B18" w:rsidP="001642FB">
      <w:pPr>
        <w:numPr>
          <w:ilvl w:val="0"/>
          <w:numId w:val="1"/>
        </w:numPr>
        <w:shd w:val="clear" w:color="auto" w:fill="FFFFFF"/>
        <w:spacing w:after="0" w:line="240" w:lineRule="auto"/>
        <w:ind w:hanging="720"/>
        <w:jc w:val="both"/>
        <w:rPr>
          <w:rFonts w:eastAsia="Times New Roman" w:cstheme="minorHAnsi"/>
          <w:color w:val="000000"/>
          <w:lang w:eastAsia="en-GB"/>
        </w:rPr>
      </w:pPr>
      <w:r w:rsidRPr="00853B18">
        <w:rPr>
          <w:rFonts w:eastAsia="Times New Roman" w:cstheme="minorHAnsi"/>
          <w:color w:val="000000"/>
          <w:lang w:eastAsia="en-GB"/>
        </w:rPr>
        <w:t>Good teamwork</w:t>
      </w:r>
      <w:r>
        <w:rPr>
          <w:rFonts w:eastAsia="Times New Roman" w:cstheme="minorHAnsi"/>
          <w:color w:val="000000"/>
          <w:lang w:eastAsia="en-GB"/>
        </w:rPr>
        <w:t xml:space="preserve"> and culture</w:t>
      </w:r>
      <w:r w:rsidRPr="00853B18">
        <w:rPr>
          <w:rFonts w:eastAsia="Times New Roman" w:cstheme="minorHAnsi"/>
          <w:color w:val="000000"/>
          <w:lang w:eastAsia="en-GB"/>
        </w:rPr>
        <w:t>, supporting each other, and working together.</w:t>
      </w:r>
    </w:p>
    <w:bookmarkEnd w:id="0"/>
    <w:p w14:paraId="6DC7AD2D" w14:textId="77777777" w:rsidR="00853B18" w:rsidRDefault="00853B18" w:rsidP="001642FB">
      <w:pPr>
        <w:shd w:val="clear" w:color="auto" w:fill="FFFFFF"/>
        <w:spacing w:after="0" w:line="240" w:lineRule="auto"/>
        <w:jc w:val="both"/>
        <w:rPr>
          <w:rFonts w:eastAsia="Times New Roman" w:cstheme="minorHAnsi"/>
          <w:color w:val="000000"/>
          <w:lang w:eastAsia="en-GB"/>
        </w:rPr>
      </w:pPr>
    </w:p>
    <w:p w14:paraId="7D921085" w14:textId="30079B76" w:rsidR="00296037" w:rsidRPr="00296037" w:rsidRDefault="0055699E" w:rsidP="001642FB">
      <w:pPr>
        <w:shd w:val="clear" w:color="auto" w:fill="FFFFFF"/>
        <w:spacing w:after="0" w:line="240" w:lineRule="auto"/>
        <w:jc w:val="both"/>
        <w:rPr>
          <w:rFonts w:eastAsia="Times New Roman" w:cstheme="minorHAnsi"/>
          <w:color w:val="000000"/>
          <w:lang w:eastAsia="en-GB"/>
        </w:rPr>
      </w:pPr>
      <w:r>
        <w:rPr>
          <w:rFonts w:eastAsia="Times New Roman" w:cstheme="minorHAnsi"/>
          <w:color w:val="000000"/>
          <w:lang w:eastAsia="en-GB"/>
        </w:rPr>
        <w:t>HottCo</w:t>
      </w:r>
      <w:r w:rsidR="004A3EEE">
        <w:rPr>
          <w:rFonts w:eastAsia="Times New Roman" w:cstheme="minorHAnsi"/>
          <w:color w:val="000000"/>
          <w:lang w:eastAsia="en-GB"/>
        </w:rPr>
        <w:t xml:space="preserve"> </w:t>
      </w:r>
      <w:r w:rsidR="00296037" w:rsidRPr="00296037">
        <w:rPr>
          <w:rFonts w:eastAsia="Times New Roman" w:cstheme="minorHAnsi"/>
          <w:color w:val="000000"/>
          <w:lang w:eastAsia="en-GB"/>
        </w:rPr>
        <w:t>does not discriminate against anyone on the grounds of any of the following characteristics (without limitation) age, disability, gender reassignment, marriage or civil partnership, pregnancy and maternity, race, religion/belief, sex (gender) and sexual orientation.</w:t>
      </w:r>
    </w:p>
    <w:p w14:paraId="7B7A97C5" w14:textId="77777777" w:rsidR="003B20B7" w:rsidRDefault="003B20B7" w:rsidP="001642FB">
      <w:pPr>
        <w:shd w:val="clear" w:color="auto" w:fill="FFFFFF"/>
        <w:spacing w:after="0" w:line="240" w:lineRule="auto"/>
        <w:jc w:val="both"/>
        <w:rPr>
          <w:rFonts w:eastAsia="Times New Roman" w:cstheme="minorHAnsi"/>
          <w:color w:val="000000"/>
          <w:lang w:eastAsia="en-GB"/>
        </w:rPr>
      </w:pPr>
    </w:p>
    <w:p w14:paraId="6790ABB6" w14:textId="6577620F" w:rsidR="00296037" w:rsidRPr="00296037" w:rsidRDefault="0055699E" w:rsidP="001642FB">
      <w:pPr>
        <w:shd w:val="clear" w:color="auto" w:fill="FFFFFF"/>
        <w:spacing w:after="0" w:line="240" w:lineRule="auto"/>
        <w:jc w:val="both"/>
        <w:rPr>
          <w:rFonts w:eastAsia="Times New Roman" w:cstheme="minorHAnsi"/>
          <w:color w:val="000000"/>
          <w:lang w:eastAsia="en-GB"/>
        </w:rPr>
      </w:pPr>
      <w:bookmarkStart w:id="1" w:name="_Hlk102898248"/>
      <w:r>
        <w:rPr>
          <w:rFonts w:eastAsia="Times New Roman" w:cstheme="minorHAnsi"/>
          <w:color w:val="000000"/>
          <w:lang w:eastAsia="en-GB"/>
        </w:rPr>
        <w:t>HottCo</w:t>
      </w:r>
      <w:r w:rsidR="00296037" w:rsidRPr="00296037">
        <w:rPr>
          <w:rFonts w:eastAsia="Times New Roman" w:cstheme="minorHAnsi"/>
          <w:color w:val="000000"/>
          <w:lang w:eastAsia="en-GB"/>
        </w:rPr>
        <w:t xml:space="preserve">’s compliance consultants provide comments and input at least on annual basis into </w:t>
      </w:r>
      <w:r w:rsidR="003B20B7">
        <w:rPr>
          <w:rFonts w:eastAsia="Times New Roman" w:cstheme="minorHAnsi"/>
          <w:color w:val="000000"/>
          <w:lang w:eastAsia="en-GB"/>
        </w:rPr>
        <w:t>its R</w:t>
      </w:r>
      <w:r w:rsidR="00296037" w:rsidRPr="00296037">
        <w:rPr>
          <w:rFonts w:eastAsia="Times New Roman" w:cstheme="minorHAnsi"/>
          <w:color w:val="000000"/>
          <w:lang w:eastAsia="en-GB"/>
        </w:rPr>
        <w:t xml:space="preserve">emuneration </w:t>
      </w:r>
      <w:r w:rsidR="003B20B7">
        <w:rPr>
          <w:rFonts w:eastAsia="Times New Roman" w:cstheme="minorHAnsi"/>
          <w:color w:val="000000"/>
          <w:lang w:eastAsia="en-GB"/>
        </w:rPr>
        <w:t>P</w:t>
      </w:r>
      <w:r w:rsidR="00296037" w:rsidRPr="00296037">
        <w:rPr>
          <w:rFonts w:eastAsia="Times New Roman" w:cstheme="minorHAnsi"/>
          <w:color w:val="000000"/>
          <w:lang w:eastAsia="en-GB"/>
        </w:rPr>
        <w:t xml:space="preserve">olicy </w:t>
      </w:r>
      <w:r w:rsidR="003B20B7">
        <w:rPr>
          <w:rFonts w:eastAsia="Times New Roman" w:cstheme="minorHAnsi"/>
          <w:color w:val="000000"/>
          <w:lang w:eastAsia="en-GB"/>
        </w:rPr>
        <w:t xml:space="preserve">arrangements </w:t>
      </w:r>
      <w:r w:rsidR="00296037" w:rsidRPr="00296037">
        <w:rPr>
          <w:rFonts w:eastAsia="Times New Roman" w:cstheme="minorHAnsi"/>
          <w:color w:val="000000"/>
          <w:lang w:eastAsia="en-GB"/>
        </w:rPr>
        <w:t>to ensure it is balanced and proportionate</w:t>
      </w:r>
      <w:r w:rsidR="003B20B7" w:rsidRPr="003B20B7">
        <w:t xml:space="preserve"> </w:t>
      </w:r>
      <w:r w:rsidR="003B20B7" w:rsidRPr="003B20B7">
        <w:rPr>
          <w:rFonts w:eastAsia="Times New Roman" w:cstheme="minorHAnsi"/>
          <w:color w:val="000000"/>
          <w:lang w:eastAsia="en-GB"/>
        </w:rPr>
        <w:t xml:space="preserve">to nature, scale and complexity of the risks inherent in </w:t>
      </w:r>
      <w:r>
        <w:rPr>
          <w:rFonts w:eastAsia="Times New Roman" w:cstheme="minorHAnsi"/>
          <w:color w:val="000000"/>
          <w:lang w:eastAsia="en-GB"/>
        </w:rPr>
        <w:t>HottCo</w:t>
      </w:r>
      <w:r w:rsidR="003B20B7" w:rsidRPr="003B20B7">
        <w:rPr>
          <w:rFonts w:eastAsia="Times New Roman" w:cstheme="minorHAnsi"/>
          <w:color w:val="000000"/>
          <w:lang w:eastAsia="en-GB"/>
        </w:rPr>
        <w:t>’s business model and regulatory activities</w:t>
      </w:r>
      <w:r w:rsidR="00296037" w:rsidRPr="00296037">
        <w:rPr>
          <w:rFonts w:eastAsia="Times New Roman" w:cstheme="minorHAnsi"/>
          <w:color w:val="000000"/>
          <w:lang w:eastAsia="en-GB"/>
        </w:rPr>
        <w:t>; does not lead to any undue risk taking by any employees; and that it is compliant with FCA relevant requirements.</w:t>
      </w:r>
    </w:p>
    <w:bookmarkEnd w:id="1"/>
    <w:p w14:paraId="061B4670" w14:textId="5F69DE06" w:rsidR="00853B18" w:rsidRDefault="00853B18" w:rsidP="001642FB">
      <w:pPr>
        <w:spacing w:after="0" w:line="240" w:lineRule="auto"/>
        <w:jc w:val="both"/>
        <w:rPr>
          <w:rFonts w:cstheme="minorHAnsi"/>
        </w:rPr>
      </w:pPr>
    </w:p>
    <w:p w14:paraId="74684FCE" w14:textId="71E36224" w:rsidR="00693298" w:rsidRPr="00693298" w:rsidRDefault="00DD1440" w:rsidP="001642FB">
      <w:pPr>
        <w:widowControl w:val="0"/>
        <w:autoSpaceDE w:val="0"/>
        <w:autoSpaceDN w:val="0"/>
        <w:adjustRightInd w:val="0"/>
        <w:spacing w:after="0" w:line="240" w:lineRule="auto"/>
        <w:jc w:val="both"/>
        <w:rPr>
          <w:rFonts w:ascii="Calibri" w:eastAsia="Times New Roman" w:hAnsi="Calibri" w:cs="Calibri"/>
          <w:lang w:eastAsia="en-GB"/>
        </w:rPr>
      </w:pPr>
      <w:r w:rsidRPr="007B25BE">
        <w:rPr>
          <w:rFonts w:ascii="Calibri" w:eastAsia="Times New Roman" w:hAnsi="Calibri" w:cs="Calibri"/>
          <w:lang w:eastAsia="en-GB"/>
        </w:rPr>
        <w:t>T</w:t>
      </w:r>
      <w:r w:rsidR="00693298" w:rsidRPr="007B25BE">
        <w:rPr>
          <w:rFonts w:ascii="Calibri" w:eastAsia="Times New Roman" w:hAnsi="Calibri" w:cs="Calibri"/>
          <w:lang w:eastAsia="en-GB"/>
        </w:rPr>
        <w:t xml:space="preserve">he composition and breakdown of </w:t>
      </w:r>
      <w:r w:rsidR="002938AC" w:rsidRPr="007B25BE">
        <w:rPr>
          <w:rFonts w:ascii="Calibri" w:eastAsia="Times New Roman" w:hAnsi="Calibri" w:cs="Calibri"/>
          <w:lang w:eastAsia="en-GB"/>
        </w:rPr>
        <w:t>HottCo</w:t>
      </w:r>
      <w:r w:rsidR="00693298" w:rsidRPr="007B25BE">
        <w:rPr>
          <w:rFonts w:ascii="Calibri" w:eastAsia="Times New Roman" w:hAnsi="Calibri" w:cs="Calibri"/>
          <w:lang w:eastAsia="en-GB"/>
        </w:rPr>
        <w:t>’s remuneration for the financial year ended 3</w:t>
      </w:r>
      <w:r w:rsidR="007B25BE" w:rsidRPr="007B25BE">
        <w:rPr>
          <w:rFonts w:ascii="Calibri" w:eastAsia="Times New Roman" w:hAnsi="Calibri" w:cs="Calibri"/>
          <w:lang w:eastAsia="en-GB"/>
        </w:rPr>
        <w:t>1</w:t>
      </w:r>
      <w:r w:rsidR="002938AC" w:rsidRPr="007B25BE">
        <w:rPr>
          <w:rFonts w:ascii="Calibri" w:eastAsia="Times New Roman" w:hAnsi="Calibri" w:cs="Calibri"/>
          <w:lang w:eastAsia="en-GB"/>
        </w:rPr>
        <w:t xml:space="preserve"> </w:t>
      </w:r>
      <w:r w:rsidR="007B25BE" w:rsidRPr="007B25BE">
        <w:rPr>
          <w:rFonts w:ascii="Calibri" w:eastAsia="Times New Roman" w:hAnsi="Calibri" w:cs="Calibri"/>
          <w:lang w:eastAsia="en-GB"/>
        </w:rPr>
        <w:t>Dece</w:t>
      </w:r>
      <w:r w:rsidR="002938AC" w:rsidRPr="007B25BE">
        <w:rPr>
          <w:rFonts w:ascii="Calibri" w:eastAsia="Times New Roman" w:hAnsi="Calibri" w:cs="Calibri"/>
          <w:lang w:eastAsia="en-GB"/>
        </w:rPr>
        <w:t>mber</w:t>
      </w:r>
      <w:r w:rsidR="00693298" w:rsidRPr="007B25BE">
        <w:rPr>
          <w:rFonts w:ascii="Calibri" w:eastAsia="Times New Roman" w:hAnsi="Calibri" w:cs="Calibri"/>
          <w:lang w:eastAsia="en-GB"/>
        </w:rPr>
        <w:t xml:space="preserve"> 2022</w:t>
      </w:r>
      <w:r w:rsidR="00CC4D83">
        <w:rPr>
          <w:rFonts w:ascii="Calibri" w:eastAsia="Times New Roman" w:hAnsi="Calibri" w:cs="Calibri"/>
          <w:lang w:eastAsia="en-GB"/>
        </w:rPr>
        <w:t xml:space="preserve"> is</w:t>
      </w:r>
      <w:r w:rsidR="00693298" w:rsidRPr="00693298">
        <w:rPr>
          <w:rFonts w:ascii="Calibri" w:eastAsia="Times New Roman" w:hAnsi="Calibri" w:cs="Calibri"/>
          <w:lang w:eastAsia="en-GB"/>
        </w:rPr>
        <w:t>:</w:t>
      </w:r>
    </w:p>
    <w:p w14:paraId="60CA8333" w14:textId="77777777" w:rsidR="00693298" w:rsidRPr="00693298" w:rsidRDefault="00693298" w:rsidP="001642FB">
      <w:pPr>
        <w:spacing w:after="0" w:line="240" w:lineRule="auto"/>
        <w:jc w:val="both"/>
        <w:rPr>
          <w:rFonts w:ascii="Calibri" w:eastAsia="Times New Roman" w:hAnsi="Calibri" w:cs="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4991"/>
      </w:tblGrid>
      <w:tr w:rsidR="00693298" w:rsidRPr="00693298" w14:paraId="3FB5923F" w14:textId="77777777" w:rsidTr="001642FB">
        <w:tc>
          <w:tcPr>
            <w:tcW w:w="9016" w:type="dxa"/>
            <w:gridSpan w:val="2"/>
            <w:tcBorders>
              <w:top w:val="single" w:sz="4" w:space="0" w:color="auto"/>
              <w:left w:val="single" w:sz="4" w:space="0" w:color="auto"/>
              <w:right w:val="single" w:sz="4" w:space="0" w:color="auto"/>
            </w:tcBorders>
            <w:shd w:val="clear" w:color="auto" w:fill="1F497D"/>
          </w:tcPr>
          <w:p w14:paraId="541834FC" w14:textId="6E3E57EE" w:rsidR="00693298" w:rsidRPr="00693298" w:rsidRDefault="00693298" w:rsidP="001642FB">
            <w:pPr>
              <w:spacing w:before="60" w:after="60" w:line="240" w:lineRule="auto"/>
              <w:jc w:val="both"/>
              <w:rPr>
                <w:rFonts w:ascii="Calibri" w:eastAsia="Times New Roman" w:hAnsi="Calibri" w:cs="Calibri"/>
                <w:b/>
                <w:color w:val="FFFFFF"/>
                <w:lang w:eastAsia="en-GB"/>
              </w:rPr>
            </w:pPr>
            <w:r w:rsidRPr="00CC4D83">
              <w:rPr>
                <w:rFonts w:ascii="Calibri" w:eastAsia="Times New Roman" w:hAnsi="Calibri" w:cs="Calibri"/>
                <w:b/>
                <w:color w:val="FFFFFF"/>
                <w:lang w:eastAsia="en-GB"/>
              </w:rPr>
              <w:t>Composition and b</w:t>
            </w:r>
            <w:r w:rsidRPr="00693298">
              <w:rPr>
                <w:rFonts w:ascii="Calibri" w:eastAsia="Times New Roman" w:hAnsi="Calibri" w:cs="Calibri"/>
                <w:b/>
                <w:color w:val="FFFFFF"/>
                <w:lang w:eastAsia="en-GB"/>
              </w:rPr>
              <w:t xml:space="preserve">reakdown of remuneration </w:t>
            </w:r>
          </w:p>
        </w:tc>
      </w:tr>
      <w:tr w:rsidR="00693298" w:rsidRPr="00693298" w14:paraId="10799829" w14:textId="77777777" w:rsidTr="001642FB">
        <w:tc>
          <w:tcPr>
            <w:tcW w:w="4025" w:type="dxa"/>
            <w:tcBorders>
              <w:top w:val="single" w:sz="4" w:space="0" w:color="auto"/>
              <w:left w:val="single" w:sz="4" w:space="0" w:color="auto"/>
              <w:bottom w:val="single" w:sz="2" w:space="0" w:color="D9D9D9" w:themeColor="background1" w:themeShade="D9"/>
              <w:right w:val="single" w:sz="2" w:space="0" w:color="D9D9D9" w:themeColor="background1" w:themeShade="D9"/>
            </w:tcBorders>
          </w:tcPr>
          <w:p w14:paraId="33B8478A" w14:textId="77777777" w:rsidR="00693298" w:rsidRPr="00693298" w:rsidRDefault="00693298" w:rsidP="001642FB">
            <w:pPr>
              <w:spacing w:before="60" w:after="60" w:line="240" w:lineRule="auto"/>
              <w:jc w:val="both"/>
              <w:rPr>
                <w:rFonts w:ascii="Calibri" w:eastAsia="Times New Roman" w:hAnsi="Calibri" w:cs="Calibri"/>
                <w:b/>
                <w:lang w:eastAsia="en-GB"/>
              </w:rPr>
            </w:pPr>
            <w:r w:rsidRPr="00693298">
              <w:rPr>
                <w:rFonts w:ascii="Calibri" w:eastAsia="Times New Roman" w:hAnsi="Calibri" w:cs="Calibri"/>
                <w:b/>
                <w:lang w:eastAsia="en-GB"/>
              </w:rPr>
              <w:t>Business Area</w:t>
            </w:r>
          </w:p>
        </w:tc>
        <w:tc>
          <w:tcPr>
            <w:tcW w:w="4991" w:type="dxa"/>
            <w:tcBorders>
              <w:top w:val="single" w:sz="4" w:space="0" w:color="auto"/>
              <w:left w:val="single" w:sz="2" w:space="0" w:color="D9D9D9" w:themeColor="background1" w:themeShade="D9"/>
              <w:bottom w:val="single" w:sz="2" w:space="0" w:color="D9D9D9" w:themeColor="background1" w:themeShade="D9"/>
              <w:right w:val="single" w:sz="4" w:space="0" w:color="auto"/>
            </w:tcBorders>
          </w:tcPr>
          <w:p w14:paraId="3F9D4C01" w14:textId="77777777" w:rsidR="00693298" w:rsidRPr="00693298" w:rsidRDefault="00693298" w:rsidP="001642FB">
            <w:pPr>
              <w:spacing w:before="60" w:after="60" w:line="240" w:lineRule="auto"/>
              <w:jc w:val="both"/>
              <w:rPr>
                <w:rFonts w:ascii="Calibri" w:eastAsia="Times New Roman" w:hAnsi="Calibri" w:cs="Calibri"/>
                <w:b/>
                <w:lang w:eastAsia="en-GB"/>
              </w:rPr>
            </w:pPr>
            <w:r w:rsidRPr="00693298">
              <w:rPr>
                <w:rFonts w:ascii="Calibri" w:eastAsia="Times New Roman" w:hAnsi="Calibri" w:cs="Calibri"/>
                <w:b/>
                <w:lang w:eastAsia="en-GB"/>
              </w:rPr>
              <w:t>Total remuneration</w:t>
            </w:r>
          </w:p>
        </w:tc>
      </w:tr>
      <w:tr w:rsidR="00693298" w:rsidRPr="00693298" w14:paraId="2758FDAB" w14:textId="77777777" w:rsidTr="001642FB">
        <w:tc>
          <w:tcPr>
            <w:tcW w:w="4025" w:type="dxa"/>
            <w:tcBorders>
              <w:top w:val="single" w:sz="2" w:space="0" w:color="D9D9D9" w:themeColor="background1" w:themeShade="D9"/>
              <w:left w:val="single" w:sz="4" w:space="0" w:color="auto"/>
              <w:bottom w:val="single" w:sz="2" w:space="0" w:color="D9D9D9" w:themeColor="background1" w:themeShade="D9"/>
              <w:right w:val="single" w:sz="2" w:space="0" w:color="D9D9D9" w:themeColor="background1" w:themeShade="D9"/>
            </w:tcBorders>
          </w:tcPr>
          <w:p w14:paraId="23CF0F8C" w14:textId="68C03B8C" w:rsidR="00693298" w:rsidRPr="00693298" w:rsidRDefault="00693298" w:rsidP="001642FB">
            <w:pPr>
              <w:spacing w:before="60" w:after="60" w:line="240" w:lineRule="auto"/>
              <w:jc w:val="both"/>
              <w:rPr>
                <w:rFonts w:ascii="Calibri" w:eastAsia="Times New Roman" w:hAnsi="Calibri" w:cs="Calibri"/>
                <w:lang w:eastAsia="en-GB"/>
              </w:rPr>
            </w:pPr>
            <w:r w:rsidRPr="00CC4D83">
              <w:rPr>
                <w:rFonts w:ascii="Calibri" w:eastAsia="Times New Roman" w:hAnsi="Calibri" w:cs="Calibri"/>
                <w:lang w:eastAsia="en-GB"/>
              </w:rPr>
              <w:t>All staff</w:t>
            </w:r>
          </w:p>
        </w:tc>
        <w:tc>
          <w:tcPr>
            <w:tcW w:w="499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auto"/>
            </w:tcBorders>
          </w:tcPr>
          <w:p w14:paraId="59943F9B" w14:textId="0266949F" w:rsidR="00693298" w:rsidRPr="007B25BE" w:rsidRDefault="00693298" w:rsidP="001642FB">
            <w:pPr>
              <w:spacing w:before="60" w:after="60" w:line="240" w:lineRule="auto"/>
              <w:jc w:val="both"/>
              <w:rPr>
                <w:rFonts w:ascii="Calibri" w:eastAsia="Times New Roman" w:hAnsi="Calibri" w:cs="Calibri"/>
                <w:color w:val="000000" w:themeColor="text1"/>
                <w:lang w:eastAsia="en-GB"/>
              </w:rPr>
            </w:pPr>
            <w:r w:rsidRPr="007B25BE">
              <w:rPr>
                <w:rFonts w:ascii="Calibri" w:eastAsia="Times New Roman" w:hAnsi="Calibri" w:cs="Calibri"/>
                <w:color w:val="000000" w:themeColor="text1"/>
                <w:lang w:eastAsia="en-GB"/>
              </w:rPr>
              <w:t>£</w:t>
            </w:r>
            <w:r w:rsidR="007B25BE" w:rsidRPr="007B25BE">
              <w:rPr>
                <w:rFonts w:ascii="Calibri" w:eastAsia="Times New Roman" w:hAnsi="Calibri" w:cs="Calibri"/>
                <w:color w:val="000000" w:themeColor="text1"/>
                <w:lang w:eastAsia="en-GB"/>
              </w:rPr>
              <w:t>1,</w:t>
            </w:r>
            <w:r w:rsidR="007B25BE">
              <w:rPr>
                <w:rFonts w:ascii="Calibri" w:eastAsia="Times New Roman" w:hAnsi="Calibri" w:cs="Calibri"/>
                <w:color w:val="000000" w:themeColor="text1"/>
                <w:lang w:eastAsia="en-GB"/>
              </w:rPr>
              <w:t>597</w:t>
            </w:r>
            <w:r w:rsidR="007B25BE" w:rsidRPr="007B25BE">
              <w:rPr>
                <w:rFonts w:ascii="Calibri" w:eastAsia="Times New Roman" w:hAnsi="Calibri" w:cs="Calibri"/>
                <w:color w:val="000000" w:themeColor="text1"/>
                <w:lang w:eastAsia="en-GB"/>
              </w:rPr>
              <w:t>,3</w:t>
            </w:r>
            <w:r w:rsidR="007B25BE">
              <w:rPr>
                <w:rFonts w:ascii="Calibri" w:eastAsia="Times New Roman" w:hAnsi="Calibri" w:cs="Calibri"/>
                <w:color w:val="000000" w:themeColor="text1"/>
                <w:lang w:eastAsia="en-GB"/>
              </w:rPr>
              <w:t>22</w:t>
            </w:r>
          </w:p>
        </w:tc>
      </w:tr>
      <w:tr w:rsidR="001642FB" w:rsidRPr="00693298" w14:paraId="21B1BFAD" w14:textId="77777777" w:rsidTr="001642FB">
        <w:tc>
          <w:tcPr>
            <w:tcW w:w="4025" w:type="dxa"/>
            <w:tcBorders>
              <w:top w:val="single" w:sz="2" w:space="0" w:color="D9D9D9" w:themeColor="background1" w:themeShade="D9"/>
              <w:left w:val="single" w:sz="4" w:space="0" w:color="auto"/>
              <w:bottom w:val="single" w:sz="2" w:space="0" w:color="D9D9D9" w:themeColor="background1" w:themeShade="D9"/>
              <w:right w:val="single" w:sz="2" w:space="0" w:color="D9D9D9" w:themeColor="background1" w:themeShade="D9"/>
            </w:tcBorders>
          </w:tcPr>
          <w:p w14:paraId="2489BD29" w14:textId="5928C680" w:rsidR="001642FB" w:rsidRPr="00CC4D83" w:rsidRDefault="001642FB" w:rsidP="001642FB">
            <w:pPr>
              <w:spacing w:before="60" w:after="60" w:line="240" w:lineRule="auto"/>
              <w:jc w:val="both"/>
              <w:rPr>
                <w:rFonts w:ascii="Calibri" w:eastAsia="Times New Roman" w:hAnsi="Calibri" w:cs="Calibri"/>
                <w:lang w:eastAsia="en-GB"/>
              </w:rPr>
            </w:pPr>
            <w:r w:rsidRPr="00CC4D83">
              <w:rPr>
                <w:rFonts w:ascii="Calibri" w:eastAsia="Times New Roman" w:hAnsi="Calibri" w:cs="Calibri"/>
                <w:lang w:eastAsia="en-GB"/>
              </w:rPr>
              <w:t>Fixed Remuneration</w:t>
            </w:r>
          </w:p>
        </w:tc>
        <w:tc>
          <w:tcPr>
            <w:tcW w:w="499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auto"/>
            </w:tcBorders>
          </w:tcPr>
          <w:p w14:paraId="532A880A" w14:textId="04614F34" w:rsidR="001642FB" w:rsidRPr="007B25BE" w:rsidRDefault="002938AC" w:rsidP="001642FB">
            <w:pPr>
              <w:spacing w:before="60" w:after="60" w:line="240" w:lineRule="auto"/>
              <w:jc w:val="both"/>
              <w:rPr>
                <w:rFonts w:ascii="Calibri" w:eastAsia="Times New Roman" w:hAnsi="Calibri" w:cs="Calibri"/>
                <w:color w:val="000000" w:themeColor="text1"/>
                <w:lang w:eastAsia="en-GB"/>
              </w:rPr>
            </w:pPr>
            <w:r w:rsidRPr="007B25BE">
              <w:rPr>
                <w:rFonts w:ascii="Calibri" w:eastAsia="Times New Roman" w:hAnsi="Calibri" w:cs="Calibri"/>
                <w:color w:val="000000" w:themeColor="text1"/>
                <w:lang w:eastAsia="en-GB"/>
              </w:rPr>
              <w:t>£</w:t>
            </w:r>
            <w:r w:rsidR="007B25BE" w:rsidRPr="007B25BE">
              <w:rPr>
                <w:rFonts w:ascii="Calibri" w:eastAsia="Times New Roman" w:hAnsi="Calibri" w:cs="Calibri"/>
                <w:color w:val="000000" w:themeColor="text1"/>
                <w:lang w:eastAsia="en-GB"/>
              </w:rPr>
              <w:t>1,209,887</w:t>
            </w:r>
          </w:p>
        </w:tc>
      </w:tr>
      <w:tr w:rsidR="001642FB" w:rsidRPr="00693298" w14:paraId="08A8A846" w14:textId="77777777" w:rsidTr="001642FB">
        <w:tc>
          <w:tcPr>
            <w:tcW w:w="4025" w:type="dxa"/>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31600619" w14:textId="670B5D54" w:rsidR="001642FB" w:rsidRPr="00CC4D83" w:rsidRDefault="001642FB" w:rsidP="001642FB">
            <w:pPr>
              <w:spacing w:before="60" w:after="60" w:line="240" w:lineRule="auto"/>
              <w:jc w:val="both"/>
              <w:rPr>
                <w:rFonts w:ascii="Calibri" w:eastAsia="Times New Roman" w:hAnsi="Calibri" w:cs="Calibri"/>
                <w:lang w:eastAsia="en-GB"/>
              </w:rPr>
            </w:pPr>
            <w:r w:rsidRPr="00CC4D83">
              <w:rPr>
                <w:rFonts w:ascii="Calibri" w:eastAsia="Times New Roman" w:hAnsi="Calibri" w:cs="Calibri"/>
                <w:lang w:eastAsia="en-GB"/>
              </w:rPr>
              <w:t>Variable Remuneration</w:t>
            </w:r>
          </w:p>
        </w:tc>
        <w:tc>
          <w:tcPr>
            <w:tcW w:w="4991" w:type="dxa"/>
            <w:tcBorders>
              <w:top w:val="single" w:sz="2" w:space="0" w:color="D9D9D9" w:themeColor="background1" w:themeShade="D9"/>
              <w:left w:val="single" w:sz="2" w:space="0" w:color="D9D9D9" w:themeColor="background1" w:themeShade="D9"/>
              <w:bottom w:val="single" w:sz="4" w:space="0" w:color="auto"/>
              <w:right w:val="single" w:sz="4" w:space="0" w:color="auto"/>
            </w:tcBorders>
          </w:tcPr>
          <w:p w14:paraId="4BD6C0A0" w14:textId="1068178D" w:rsidR="001642FB" w:rsidRPr="007B25BE" w:rsidRDefault="007B25BE" w:rsidP="001642FB">
            <w:pPr>
              <w:spacing w:before="60" w:after="60" w:line="240" w:lineRule="auto"/>
              <w:jc w:val="both"/>
              <w:rPr>
                <w:rFonts w:ascii="Calibri" w:eastAsia="Times New Roman" w:hAnsi="Calibri" w:cs="Calibri"/>
                <w:color w:val="000000" w:themeColor="text1"/>
                <w:lang w:eastAsia="en-GB"/>
              </w:rPr>
            </w:pPr>
            <w:r w:rsidRPr="007B25BE">
              <w:rPr>
                <w:rFonts w:ascii="Calibri" w:eastAsia="Times New Roman" w:hAnsi="Calibri" w:cs="Calibri"/>
                <w:color w:val="000000" w:themeColor="text1"/>
                <w:lang w:eastAsia="en-GB"/>
              </w:rPr>
              <w:t>£250,500</w:t>
            </w:r>
          </w:p>
        </w:tc>
      </w:tr>
    </w:tbl>
    <w:p w14:paraId="4B24CE47" w14:textId="77777777" w:rsidR="00693298" w:rsidRPr="00693298" w:rsidRDefault="00693298" w:rsidP="001642FB">
      <w:pPr>
        <w:spacing w:after="0" w:line="240" w:lineRule="auto"/>
        <w:jc w:val="both"/>
        <w:rPr>
          <w:rFonts w:ascii="Calibri" w:eastAsia="Times New Roman" w:hAnsi="Calibri" w:cs="Calibri"/>
          <w:lang w:eastAsia="en-GB"/>
        </w:rPr>
      </w:pPr>
    </w:p>
    <w:p w14:paraId="7B7773E1" w14:textId="77777777" w:rsidR="00853B18" w:rsidRPr="00B94AEE" w:rsidRDefault="00853B18" w:rsidP="001642FB">
      <w:pPr>
        <w:spacing w:after="0" w:line="240" w:lineRule="auto"/>
        <w:jc w:val="both"/>
        <w:rPr>
          <w:rFonts w:cstheme="minorHAnsi"/>
        </w:rPr>
      </w:pPr>
    </w:p>
    <w:sectPr w:rsidR="00853B18" w:rsidRPr="00B94A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CA0B" w14:textId="77777777" w:rsidR="00C47394" w:rsidRDefault="00C47394" w:rsidP="002938AC">
      <w:pPr>
        <w:spacing w:after="0" w:line="240" w:lineRule="auto"/>
      </w:pPr>
      <w:r>
        <w:separator/>
      </w:r>
    </w:p>
  </w:endnote>
  <w:endnote w:type="continuationSeparator" w:id="0">
    <w:p w14:paraId="35677F4F" w14:textId="77777777" w:rsidR="00C47394" w:rsidRDefault="00C47394" w:rsidP="0029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514"/>
      <w:gridCol w:w="1533"/>
    </w:tblGrid>
    <w:tr w:rsidR="00794B75" w:rsidRPr="00794B75" w14:paraId="3303FB12" w14:textId="77777777" w:rsidTr="00AF3E29">
      <w:trPr>
        <w:trHeight w:val="270"/>
      </w:trPr>
      <w:tc>
        <w:tcPr>
          <w:tcW w:w="1529" w:type="dxa"/>
          <w:tcBorders>
            <w:top w:val="single" w:sz="8" w:space="0" w:color="auto"/>
            <w:left w:val="single" w:sz="2" w:space="0" w:color="FFFFFF"/>
            <w:bottom w:val="single" w:sz="2" w:space="0" w:color="FFFFFF"/>
            <w:right w:val="single" w:sz="2" w:space="0" w:color="FFFFFF"/>
          </w:tcBorders>
        </w:tcPr>
        <w:p w14:paraId="64091AFA" w14:textId="3631DBEF" w:rsidR="00794B75" w:rsidRPr="00794B75" w:rsidRDefault="00794B75" w:rsidP="00794B75">
          <w:pPr>
            <w:spacing w:before="60" w:after="0" w:line="240" w:lineRule="auto"/>
            <w:rPr>
              <w:rFonts w:ascii="Calibri" w:eastAsia="Times New Roman" w:hAnsi="Calibri" w:cs="Calibri"/>
              <w:sz w:val="20"/>
              <w:szCs w:val="20"/>
              <w:lang w:eastAsia="en-GB"/>
            </w:rPr>
          </w:pPr>
          <w:r w:rsidRPr="00794B75">
            <w:rPr>
              <w:rFonts w:ascii="Calibri" w:eastAsia="Times New Roman" w:hAnsi="Calibri" w:cs="Calibri"/>
              <w:b/>
              <w:sz w:val="16"/>
              <w:szCs w:val="16"/>
              <w:lang w:eastAsia="en-GB"/>
            </w:rPr>
            <w:t>v.</w:t>
          </w:r>
          <w:r>
            <w:rPr>
              <w:rFonts w:ascii="Calibri" w:eastAsia="Times New Roman" w:hAnsi="Calibri" w:cs="Calibri"/>
              <w:b/>
              <w:sz w:val="16"/>
              <w:szCs w:val="16"/>
              <w:lang w:eastAsia="en-GB"/>
            </w:rPr>
            <w:t>0</w:t>
          </w:r>
          <w:r w:rsidR="009F78A8">
            <w:rPr>
              <w:rFonts w:ascii="Calibri" w:eastAsia="Times New Roman" w:hAnsi="Calibri" w:cs="Calibri"/>
              <w:b/>
              <w:sz w:val="16"/>
              <w:szCs w:val="16"/>
              <w:lang w:eastAsia="en-GB"/>
            </w:rPr>
            <w:t>4</w:t>
          </w:r>
          <w:r w:rsidRPr="00794B75">
            <w:rPr>
              <w:rFonts w:ascii="Calibri" w:eastAsia="Times New Roman" w:hAnsi="Calibri" w:cs="Calibri"/>
              <w:b/>
              <w:sz w:val="16"/>
              <w:szCs w:val="16"/>
              <w:lang w:eastAsia="en-GB"/>
            </w:rPr>
            <w:t>.202</w:t>
          </w:r>
          <w:r w:rsidR="009F78A8">
            <w:rPr>
              <w:rFonts w:ascii="Calibri" w:eastAsia="Times New Roman" w:hAnsi="Calibri" w:cs="Calibri"/>
              <w:b/>
              <w:sz w:val="16"/>
              <w:szCs w:val="16"/>
              <w:lang w:eastAsia="en-GB"/>
            </w:rPr>
            <w:t>3</w:t>
          </w:r>
          <w:r w:rsidRPr="00794B75">
            <w:rPr>
              <w:rFonts w:ascii="Calibri" w:eastAsia="Times New Roman" w:hAnsi="Calibri" w:cs="Calibri"/>
              <w:b/>
              <w:sz w:val="16"/>
              <w:szCs w:val="16"/>
              <w:lang w:eastAsia="en-GB"/>
            </w:rPr>
            <w:t>.01</w:t>
          </w:r>
        </w:p>
      </w:tc>
      <w:tc>
        <w:tcPr>
          <w:tcW w:w="6514" w:type="dxa"/>
          <w:tcBorders>
            <w:top w:val="single" w:sz="8" w:space="0" w:color="auto"/>
            <w:left w:val="single" w:sz="2" w:space="0" w:color="FFFFFF"/>
            <w:bottom w:val="single" w:sz="2" w:space="0" w:color="FFFFFF"/>
            <w:right w:val="single" w:sz="2" w:space="0" w:color="FFFFFF"/>
          </w:tcBorders>
        </w:tcPr>
        <w:p w14:paraId="4C5CE5F3" w14:textId="79750218" w:rsidR="00794B75" w:rsidRPr="00794B75" w:rsidRDefault="00794B75" w:rsidP="00794B75">
          <w:pPr>
            <w:spacing w:before="60" w:after="0" w:line="240" w:lineRule="auto"/>
            <w:jc w:val="center"/>
            <w:rPr>
              <w:rFonts w:ascii="Calibri" w:eastAsia="Times New Roman" w:hAnsi="Calibri" w:cs="Calibri"/>
              <w:sz w:val="20"/>
              <w:szCs w:val="20"/>
              <w:lang w:eastAsia="en-GB"/>
            </w:rPr>
          </w:pPr>
          <w:r>
            <w:rPr>
              <w:rFonts w:ascii="Calibri" w:eastAsia="Times New Roman" w:hAnsi="Calibri" w:cs="Calibri"/>
              <w:b/>
              <w:sz w:val="16"/>
              <w:szCs w:val="16"/>
              <w:lang w:eastAsia="en-GB"/>
            </w:rPr>
            <w:t>MiFIDPRU REMUNERATION DISCLOSURE</w:t>
          </w:r>
        </w:p>
      </w:tc>
      <w:tc>
        <w:tcPr>
          <w:tcW w:w="1532" w:type="dxa"/>
          <w:tcBorders>
            <w:top w:val="single" w:sz="8" w:space="0" w:color="auto"/>
            <w:left w:val="single" w:sz="2" w:space="0" w:color="FFFFFF"/>
            <w:bottom w:val="single" w:sz="2" w:space="0" w:color="FFFFFF"/>
            <w:right w:val="single" w:sz="2" w:space="0" w:color="FFFFFF"/>
          </w:tcBorders>
        </w:tcPr>
        <w:p w14:paraId="22EE8228" w14:textId="6ACAC1FC" w:rsidR="00794B75" w:rsidRPr="00794B75" w:rsidRDefault="007B25BE" w:rsidP="00794B75">
          <w:pPr>
            <w:spacing w:before="60" w:after="0" w:line="240" w:lineRule="auto"/>
            <w:ind w:left="-108"/>
            <w:jc w:val="right"/>
            <w:rPr>
              <w:rFonts w:ascii="Calibri" w:eastAsia="Times New Roman" w:hAnsi="Calibri" w:cs="Calibri"/>
              <w:sz w:val="20"/>
              <w:szCs w:val="20"/>
              <w:lang w:eastAsia="en-GB"/>
            </w:rPr>
          </w:pPr>
          <w:r>
            <w:rPr>
              <w:rFonts w:ascii="Calibri" w:eastAsia="Times New Roman" w:hAnsi="Calibri" w:cs="Calibri"/>
              <w:b/>
              <w:sz w:val="16"/>
              <w:szCs w:val="16"/>
              <w:lang w:eastAsia="en-GB"/>
            </w:rPr>
            <w:t>April</w:t>
          </w:r>
          <w:r w:rsidR="00794B75">
            <w:rPr>
              <w:rFonts w:ascii="Calibri" w:eastAsia="Times New Roman" w:hAnsi="Calibri" w:cs="Calibri"/>
              <w:b/>
              <w:sz w:val="16"/>
              <w:szCs w:val="16"/>
              <w:lang w:eastAsia="en-GB"/>
            </w:rPr>
            <w:t xml:space="preserve"> 202</w:t>
          </w:r>
          <w:r>
            <w:rPr>
              <w:rFonts w:ascii="Calibri" w:eastAsia="Times New Roman" w:hAnsi="Calibri" w:cs="Calibri"/>
              <w:b/>
              <w:sz w:val="16"/>
              <w:szCs w:val="16"/>
              <w:lang w:eastAsia="en-GB"/>
            </w:rPr>
            <w:t>3</w:t>
          </w:r>
        </w:p>
      </w:tc>
    </w:tr>
    <w:tr w:rsidR="00794B75" w:rsidRPr="00794B75" w14:paraId="7DED7877" w14:textId="77777777" w:rsidTr="00AF3E29">
      <w:trPr>
        <w:trHeight w:val="206"/>
      </w:trPr>
      <w:tc>
        <w:tcPr>
          <w:tcW w:w="9576" w:type="dxa"/>
          <w:gridSpan w:val="3"/>
          <w:tcBorders>
            <w:top w:val="single" w:sz="2" w:space="0" w:color="FFFFFF"/>
            <w:left w:val="single" w:sz="2" w:space="0" w:color="FFFFFF"/>
            <w:bottom w:val="single" w:sz="2" w:space="0" w:color="FFFFFF"/>
            <w:right w:val="single" w:sz="2" w:space="0" w:color="FFFFFF"/>
          </w:tcBorders>
        </w:tcPr>
        <w:p w14:paraId="3AC3A068" w14:textId="77777777" w:rsidR="00794B75" w:rsidRPr="00794B75" w:rsidRDefault="00794B75" w:rsidP="00794B75">
          <w:pPr>
            <w:spacing w:after="0" w:line="240" w:lineRule="auto"/>
            <w:jc w:val="center"/>
            <w:rPr>
              <w:rFonts w:ascii="Calibri" w:eastAsia="Times New Roman" w:hAnsi="Calibri" w:cs="Calibri"/>
              <w:i/>
              <w:sz w:val="20"/>
              <w:szCs w:val="20"/>
              <w:lang w:eastAsia="en-GB"/>
            </w:rPr>
          </w:pPr>
          <w:r w:rsidRPr="00794B75">
            <w:rPr>
              <w:rFonts w:ascii="Calibri" w:eastAsia="Times New Roman" w:hAnsi="Calibri" w:cs="Calibri"/>
              <w:b/>
              <w:i/>
              <w:sz w:val="16"/>
              <w:szCs w:val="16"/>
              <w:lang w:eastAsia="en-GB"/>
            </w:rPr>
            <w:t>Hottinger &amp; Co Limited is authorised and regulated by the Financial Conduct Authority</w:t>
          </w:r>
        </w:p>
      </w:tc>
    </w:tr>
    <w:tr w:rsidR="00794B75" w:rsidRPr="00794B75" w14:paraId="1D91FD61" w14:textId="77777777" w:rsidTr="00AF3E29">
      <w:trPr>
        <w:trHeight w:val="248"/>
      </w:trPr>
      <w:tc>
        <w:tcPr>
          <w:tcW w:w="1529" w:type="dxa"/>
          <w:tcBorders>
            <w:top w:val="single" w:sz="2" w:space="0" w:color="FFFFFF"/>
            <w:left w:val="single" w:sz="2" w:space="0" w:color="FFFFFF"/>
            <w:bottom w:val="single" w:sz="2" w:space="0" w:color="FFFFFF"/>
            <w:right w:val="single" w:sz="2" w:space="0" w:color="FFFFFF"/>
          </w:tcBorders>
        </w:tcPr>
        <w:p w14:paraId="1A336066" w14:textId="77777777" w:rsidR="00794B75" w:rsidRPr="00794B75" w:rsidRDefault="00794B75" w:rsidP="00794B75">
          <w:pPr>
            <w:spacing w:after="0" w:line="240" w:lineRule="auto"/>
            <w:rPr>
              <w:rFonts w:ascii="Calibri" w:eastAsia="Times New Roman" w:hAnsi="Calibri" w:cs="Calibri"/>
              <w:sz w:val="20"/>
              <w:szCs w:val="20"/>
              <w:lang w:eastAsia="en-GB"/>
            </w:rPr>
          </w:pPr>
        </w:p>
      </w:tc>
      <w:tc>
        <w:tcPr>
          <w:tcW w:w="6514" w:type="dxa"/>
          <w:tcBorders>
            <w:top w:val="single" w:sz="2" w:space="0" w:color="FFFFFF"/>
            <w:left w:val="single" w:sz="2" w:space="0" w:color="FFFFFF"/>
            <w:bottom w:val="single" w:sz="2" w:space="0" w:color="FFFFFF"/>
            <w:right w:val="single" w:sz="2" w:space="0" w:color="FFFFFF"/>
          </w:tcBorders>
        </w:tcPr>
        <w:p w14:paraId="4005E393" w14:textId="77777777" w:rsidR="00794B75" w:rsidRPr="00794B75" w:rsidRDefault="00794B75" w:rsidP="00794B75">
          <w:pPr>
            <w:spacing w:after="0" w:line="240" w:lineRule="auto"/>
            <w:jc w:val="center"/>
            <w:rPr>
              <w:rFonts w:ascii="Calibri" w:eastAsia="Times New Roman" w:hAnsi="Calibri" w:cs="Calibri"/>
              <w:sz w:val="20"/>
              <w:szCs w:val="20"/>
              <w:lang w:eastAsia="en-GB"/>
            </w:rPr>
          </w:pPr>
          <w:r w:rsidRPr="00794B75">
            <w:rPr>
              <w:rFonts w:ascii="Calibri" w:eastAsia="Times New Roman" w:hAnsi="Calibri" w:cs="Calibri"/>
              <w:b/>
              <w:sz w:val="16"/>
              <w:szCs w:val="16"/>
              <w:lang w:eastAsia="en-GB"/>
            </w:rPr>
            <w:fldChar w:fldCharType="begin"/>
          </w:r>
          <w:r w:rsidRPr="00794B75">
            <w:rPr>
              <w:rFonts w:ascii="Calibri" w:eastAsia="Times New Roman" w:hAnsi="Calibri" w:cs="Calibri"/>
              <w:b/>
              <w:sz w:val="16"/>
              <w:szCs w:val="16"/>
              <w:lang w:eastAsia="en-GB"/>
            </w:rPr>
            <w:instrText xml:space="preserve"> PAGE </w:instrText>
          </w:r>
          <w:r w:rsidRPr="00794B75">
            <w:rPr>
              <w:rFonts w:ascii="Calibri" w:eastAsia="Times New Roman" w:hAnsi="Calibri" w:cs="Calibri"/>
              <w:b/>
              <w:sz w:val="16"/>
              <w:szCs w:val="16"/>
              <w:lang w:eastAsia="en-GB"/>
            </w:rPr>
            <w:fldChar w:fldCharType="separate"/>
          </w:r>
          <w:r w:rsidRPr="00794B75">
            <w:rPr>
              <w:rFonts w:ascii="Calibri" w:eastAsia="Times New Roman" w:hAnsi="Calibri" w:cs="Calibri"/>
              <w:b/>
              <w:noProof/>
              <w:sz w:val="16"/>
              <w:szCs w:val="16"/>
              <w:lang w:eastAsia="en-GB"/>
            </w:rPr>
            <w:t>11</w:t>
          </w:r>
          <w:r w:rsidRPr="00794B75">
            <w:rPr>
              <w:rFonts w:ascii="Calibri" w:eastAsia="Times New Roman" w:hAnsi="Calibri" w:cs="Calibri"/>
              <w:b/>
              <w:sz w:val="16"/>
              <w:szCs w:val="16"/>
              <w:lang w:eastAsia="en-GB"/>
            </w:rPr>
            <w:fldChar w:fldCharType="end"/>
          </w:r>
          <w:r w:rsidRPr="00794B75">
            <w:rPr>
              <w:rFonts w:ascii="Calibri" w:eastAsia="Times New Roman" w:hAnsi="Calibri" w:cs="Calibri"/>
              <w:b/>
              <w:sz w:val="16"/>
              <w:szCs w:val="16"/>
              <w:lang w:eastAsia="en-GB"/>
            </w:rPr>
            <w:t xml:space="preserve"> of </w:t>
          </w:r>
          <w:r w:rsidRPr="00794B75">
            <w:rPr>
              <w:rFonts w:ascii="Calibri" w:eastAsia="Times New Roman" w:hAnsi="Calibri" w:cs="Calibri"/>
              <w:b/>
              <w:sz w:val="16"/>
              <w:szCs w:val="16"/>
              <w:lang w:eastAsia="en-GB"/>
            </w:rPr>
            <w:fldChar w:fldCharType="begin"/>
          </w:r>
          <w:r w:rsidRPr="00794B75">
            <w:rPr>
              <w:rFonts w:ascii="Calibri" w:eastAsia="Times New Roman" w:hAnsi="Calibri" w:cs="Calibri"/>
              <w:b/>
              <w:sz w:val="16"/>
              <w:szCs w:val="16"/>
              <w:lang w:eastAsia="en-GB"/>
            </w:rPr>
            <w:instrText xml:space="preserve"> NUMPAGES </w:instrText>
          </w:r>
          <w:r w:rsidRPr="00794B75">
            <w:rPr>
              <w:rFonts w:ascii="Calibri" w:eastAsia="Times New Roman" w:hAnsi="Calibri" w:cs="Calibri"/>
              <w:b/>
              <w:sz w:val="16"/>
              <w:szCs w:val="16"/>
              <w:lang w:eastAsia="en-GB"/>
            </w:rPr>
            <w:fldChar w:fldCharType="separate"/>
          </w:r>
          <w:r w:rsidRPr="00794B75">
            <w:rPr>
              <w:rFonts w:ascii="Calibri" w:eastAsia="Times New Roman" w:hAnsi="Calibri" w:cs="Calibri"/>
              <w:b/>
              <w:noProof/>
              <w:sz w:val="16"/>
              <w:szCs w:val="16"/>
              <w:lang w:eastAsia="en-GB"/>
            </w:rPr>
            <w:t>11</w:t>
          </w:r>
          <w:r w:rsidRPr="00794B75">
            <w:rPr>
              <w:rFonts w:ascii="Calibri" w:eastAsia="Times New Roman" w:hAnsi="Calibri" w:cs="Calibri"/>
              <w:b/>
              <w:sz w:val="16"/>
              <w:szCs w:val="16"/>
              <w:lang w:eastAsia="en-GB"/>
            </w:rPr>
            <w:fldChar w:fldCharType="end"/>
          </w:r>
        </w:p>
      </w:tc>
      <w:tc>
        <w:tcPr>
          <w:tcW w:w="1532" w:type="dxa"/>
          <w:tcBorders>
            <w:top w:val="single" w:sz="2" w:space="0" w:color="FFFFFF"/>
            <w:left w:val="single" w:sz="2" w:space="0" w:color="FFFFFF"/>
            <w:bottom w:val="single" w:sz="2" w:space="0" w:color="FFFFFF"/>
            <w:right w:val="single" w:sz="2" w:space="0" w:color="FFFFFF"/>
          </w:tcBorders>
        </w:tcPr>
        <w:p w14:paraId="3CF852EC" w14:textId="77777777" w:rsidR="00794B75" w:rsidRPr="00794B75" w:rsidRDefault="00794B75" w:rsidP="00794B75">
          <w:pPr>
            <w:spacing w:after="0" w:line="240" w:lineRule="auto"/>
            <w:rPr>
              <w:rFonts w:ascii="Calibri" w:eastAsia="Times New Roman" w:hAnsi="Calibri" w:cs="Calibri"/>
              <w:sz w:val="20"/>
              <w:szCs w:val="20"/>
              <w:lang w:eastAsia="en-GB"/>
            </w:rPr>
          </w:pPr>
        </w:p>
      </w:tc>
    </w:tr>
  </w:tbl>
  <w:p w14:paraId="0EF9206B" w14:textId="77777777" w:rsidR="002938AC" w:rsidRDefault="002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CF46" w14:textId="77777777" w:rsidR="00C47394" w:rsidRDefault="00C47394" w:rsidP="002938AC">
      <w:pPr>
        <w:spacing w:after="0" w:line="240" w:lineRule="auto"/>
      </w:pPr>
      <w:r>
        <w:separator/>
      </w:r>
    </w:p>
  </w:footnote>
  <w:footnote w:type="continuationSeparator" w:id="0">
    <w:p w14:paraId="263AAA26" w14:textId="77777777" w:rsidR="00C47394" w:rsidRDefault="00C47394" w:rsidP="0029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3"/>
      <w:gridCol w:w="1723"/>
    </w:tblGrid>
    <w:tr w:rsidR="002938AC" w:rsidRPr="002938AC" w14:paraId="1AFBC89F" w14:textId="77777777" w:rsidTr="00AF3E29">
      <w:trPr>
        <w:trHeight w:val="347"/>
      </w:trPr>
      <w:tc>
        <w:tcPr>
          <w:tcW w:w="7603" w:type="dxa"/>
          <w:tcBorders>
            <w:top w:val="single" w:sz="2" w:space="0" w:color="FFFFFF"/>
            <w:left w:val="single" w:sz="2" w:space="0" w:color="FFFFFF"/>
            <w:bottom w:val="single" w:sz="2" w:space="0" w:color="FFFFFF"/>
            <w:right w:val="single" w:sz="2" w:space="0" w:color="FFFFFF"/>
          </w:tcBorders>
        </w:tcPr>
        <w:p w14:paraId="72F7B0A9" w14:textId="40C5C0FF" w:rsidR="002938AC" w:rsidRPr="002938AC" w:rsidRDefault="002938AC" w:rsidP="002938AC">
          <w:pPr>
            <w:tabs>
              <w:tab w:val="center" w:pos="4680"/>
              <w:tab w:val="right" w:pos="9360"/>
            </w:tabs>
            <w:spacing w:after="0" w:line="240" w:lineRule="auto"/>
            <w:rPr>
              <w:rFonts w:ascii="Calibri" w:eastAsia="Times New Roman" w:hAnsi="Calibri" w:cs="Calibri"/>
              <w:b/>
              <w:sz w:val="24"/>
              <w:szCs w:val="24"/>
              <w:lang w:eastAsia="en-GB"/>
            </w:rPr>
          </w:pPr>
          <w:proofErr w:type="spellStart"/>
          <w:r>
            <w:rPr>
              <w:rFonts w:ascii="Calibri" w:eastAsia="Times New Roman" w:hAnsi="Calibri" w:cs="Calibri"/>
              <w:b/>
              <w:smallCaps/>
              <w:sz w:val="28"/>
              <w:szCs w:val="28"/>
              <w:lang w:eastAsia="en-GB"/>
            </w:rPr>
            <w:t>MiFIDPRU</w:t>
          </w:r>
          <w:proofErr w:type="spellEnd"/>
          <w:r>
            <w:rPr>
              <w:rFonts w:ascii="Calibri" w:eastAsia="Times New Roman" w:hAnsi="Calibri" w:cs="Calibri"/>
              <w:b/>
              <w:smallCaps/>
              <w:sz w:val="28"/>
              <w:szCs w:val="28"/>
              <w:lang w:eastAsia="en-GB"/>
            </w:rPr>
            <w:t xml:space="preserve"> Remuneration Disclosure </w:t>
          </w:r>
        </w:p>
      </w:tc>
      <w:tc>
        <w:tcPr>
          <w:tcW w:w="1723" w:type="dxa"/>
          <w:vMerge w:val="restart"/>
          <w:tcBorders>
            <w:top w:val="single" w:sz="2" w:space="0" w:color="FFFFFF"/>
            <w:left w:val="single" w:sz="2" w:space="0" w:color="FFFFFF"/>
            <w:right w:val="single" w:sz="2" w:space="0" w:color="FFFFFF"/>
          </w:tcBorders>
        </w:tcPr>
        <w:p w14:paraId="23414B8B" w14:textId="5AF54880" w:rsidR="002938AC" w:rsidRPr="002938AC" w:rsidRDefault="007B25BE" w:rsidP="002938AC">
          <w:pPr>
            <w:tabs>
              <w:tab w:val="center" w:pos="4680"/>
              <w:tab w:val="right" w:pos="9360"/>
            </w:tabs>
            <w:spacing w:after="0" w:line="240" w:lineRule="auto"/>
            <w:jc w:val="right"/>
            <w:rPr>
              <w:rFonts w:ascii="Times New Roman" w:eastAsia="Times New Roman" w:hAnsi="Times New Roman" w:cs="Times New Roman"/>
              <w:b/>
              <w:sz w:val="24"/>
              <w:szCs w:val="24"/>
              <w:lang w:eastAsia="en-GB"/>
            </w:rPr>
          </w:pPr>
          <w:r>
            <w:rPr>
              <w:noProof/>
            </w:rPr>
            <w:drawing>
              <wp:inline distT="0" distB="0" distL="0" distR="0" wp14:anchorId="5F8D4379" wp14:editId="4884CB89">
                <wp:extent cx="1000131" cy="160020"/>
                <wp:effectExtent l="0" t="0" r="952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40" cy="176581"/>
                        </a:xfrm>
                        <a:prstGeom prst="rect">
                          <a:avLst/>
                        </a:prstGeom>
                        <a:noFill/>
                        <a:ln>
                          <a:noFill/>
                        </a:ln>
                      </pic:spPr>
                    </pic:pic>
                  </a:graphicData>
                </a:graphic>
              </wp:inline>
            </w:drawing>
          </w:r>
          <w:r>
            <w:rPr>
              <w:rFonts w:ascii="Calibri" w:eastAsia="Times New Roman" w:hAnsi="Calibri" w:cs="Times New Roman"/>
              <w:noProof/>
            </w:rPr>
            <w:t xml:space="preserve"> </w:t>
          </w:r>
        </w:p>
      </w:tc>
    </w:tr>
    <w:tr w:rsidR="002938AC" w:rsidRPr="002938AC" w14:paraId="04548AEE" w14:textId="77777777" w:rsidTr="00AF3E29">
      <w:trPr>
        <w:trHeight w:val="293"/>
      </w:trPr>
      <w:tc>
        <w:tcPr>
          <w:tcW w:w="7603" w:type="dxa"/>
          <w:tcBorders>
            <w:top w:val="single" w:sz="2" w:space="0" w:color="FFFFFF"/>
            <w:left w:val="single" w:sz="2" w:space="0" w:color="FFFFFF"/>
            <w:bottom w:val="single" w:sz="2" w:space="0" w:color="FFFFFF"/>
            <w:right w:val="single" w:sz="2" w:space="0" w:color="FFFFFF"/>
          </w:tcBorders>
        </w:tcPr>
        <w:p w14:paraId="484C4D49" w14:textId="77777777" w:rsidR="002938AC" w:rsidRPr="002938AC" w:rsidRDefault="002938AC" w:rsidP="002938AC">
          <w:pPr>
            <w:tabs>
              <w:tab w:val="center" w:pos="4680"/>
              <w:tab w:val="right" w:pos="9360"/>
            </w:tabs>
            <w:spacing w:after="0" w:line="240" w:lineRule="auto"/>
            <w:rPr>
              <w:rFonts w:ascii="Calibri" w:eastAsia="Times New Roman" w:hAnsi="Calibri" w:cs="Calibri"/>
              <w:b/>
              <w:lang w:eastAsia="en-GB"/>
            </w:rPr>
          </w:pPr>
          <w:r w:rsidRPr="002938AC">
            <w:rPr>
              <w:rFonts w:ascii="Calibri" w:eastAsia="Times New Roman" w:hAnsi="Calibri" w:cs="Calibri"/>
              <w:b/>
              <w:smallCaps/>
              <w:lang w:eastAsia="en-GB"/>
            </w:rPr>
            <w:t xml:space="preserve">Hottinger &amp; Co Limited                                                       </w:t>
          </w:r>
        </w:p>
      </w:tc>
      <w:tc>
        <w:tcPr>
          <w:tcW w:w="1723" w:type="dxa"/>
          <w:vMerge/>
          <w:tcBorders>
            <w:left w:val="single" w:sz="2" w:space="0" w:color="FFFFFF"/>
            <w:right w:val="single" w:sz="2" w:space="0" w:color="FFFFFF"/>
          </w:tcBorders>
        </w:tcPr>
        <w:p w14:paraId="323DB4F9" w14:textId="77777777" w:rsidR="002938AC" w:rsidRPr="002938AC" w:rsidRDefault="002938AC" w:rsidP="002938AC">
          <w:pPr>
            <w:tabs>
              <w:tab w:val="center" w:pos="4680"/>
              <w:tab w:val="right" w:pos="9360"/>
            </w:tabs>
            <w:spacing w:after="0" w:line="240" w:lineRule="auto"/>
            <w:rPr>
              <w:rFonts w:ascii="Times New Roman" w:eastAsia="Times New Roman" w:hAnsi="Times New Roman" w:cs="Times New Roman"/>
              <w:b/>
              <w:sz w:val="24"/>
              <w:szCs w:val="24"/>
              <w:lang w:eastAsia="en-GB"/>
            </w:rPr>
          </w:pPr>
        </w:p>
      </w:tc>
    </w:tr>
    <w:tr w:rsidR="002938AC" w:rsidRPr="002938AC" w14:paraId="3F3949F6" w14:textId="77777777" w:rsidTr="00794B75">
      <w:trPr>
        <w:trHeight w:val="293"/>
      </w:trPr>
      <w:tc>
        <w:tcPr>
          <w:tcW w:w="7603" w:type="dxa"/>
          <w:tcBorders>
            <w:top w:val="single" w:sz="2" w:space="0" w:color="FFFFFF"/>
            <w:left w:val="single" w:sz="2" w:space="0" w:color="FFFFFF"/>
            <w:bottom w:val="single" w:sz="4" w:space="0" w:color="auto"/>
            <w:right w:val="single" w:sz="2" w:space="0" w:color="FFFFFF"/>
          </w:tcBorders>
        </w:tcPr>
        <w:p w14:paraId="3A62711A" w14:textId="77777777" w:rsidR="002938AC" w:rsidRPr="002938AC" w:rsidRDefault="002938AC" w:rsidP="002938AC">
          <w:pPr>
            <w:tabs>
              <w:tab w:val="center" w:pos="4680"/>
              <w:tab w:val="right" w:pos="9360"/>
            </w:tabs>
            <w:spacing w:after="0" w:line="240" w:lineRule="auto"/>
            <w:rPr>
              <w:rFonts w:ascii="Calibri" w:eastAsia="Times New Roman" w:hAnsi="Calibri" w:cs="Calibri"/>
              <w:b/>
              <w:lang w:eastAsia="en-GB"/>
            </w:rPr>
          </w:pPr>
          <w:r w:rsidRPr="002938AC">
            <w:rPr>
              <w:rFonts w:ascii="Calibri" w:eastAsia="Times New Roman" w:hAnsi="Calibri" w:cs="Calibri"/>
              <w:b/>
              <w:lang w:eastAsia="en-GB"/>
            </w:rPr>
            <w:t>FRN: 208737</w:t>
          </w:r>
        </w:p>
      </w:tc>
      <w:tc>
        <w:tcPr>
          <w:tcW w:w="1723" w:type="dxa"/>
          <w:vMerge/>
          <w:tcBorders>
            <w:left w:val="single" w:sz="2" w:space="0" w:color="FFFFFF"/>
            <w:bottom w:val="single" w:sz="4" w:space="0" w:color="auto"/>
            <w:right w:val="single" w:sz="2" w:space="0" w:color="FFFFFF"/>
          </w:tcBorders>
        </w:tcPr>
        <w:p w14:paraId="6D99C577" w14:textId="77777777" w:rsidR="002938AC" w:rsidRPr="002938AC" w:rsidRDefault="002938AC" w:rsidP="002938AC">
          <w:pPr>
            <w:tabs>
              <w:tab w:val="center" w:pos="4680"/>
              <w:tab w:val="right" w:pos="9360"/>
            </w:tabs>
            <w:spacing w:after="0" w:line="240" w:lineRule="auto"/>
            <w:rPr>
              <w:rFonts w:ascii="Times New Roman" w:eastAsia="Times New Roman" w:hAnsi="Times New Roman" w:cs="Times New Roman"/>
              <w:b/>
              <w:sz w:val="24"/>
              <w:szCs w:val="24"/>
              <w:lang w:eastAsia="en-GB"/>
            </w:rPr>
          </w:pPr>
        </w:p>
      </w:tc>
    </w:tr>
  </w:tbl>
  <w:p w14:paraId="390741AE" w14:textId="77777777" w:rsidR="002938AC" w:rsidRPr="002938AC" w:rsidRDefault="002938A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414E"/>
    <w:multiLevelType w:val="multilevel"/>
    <w:tmpl w:val="01CAEB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7589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37"/>
    <w:rsid w:val="001642FB"/>
    <w:rsid w:val="001F10AE"/>
    <w:rsid w:val="002938AC"/>
    <w:rsid w:val="00296037"/>
    <w:rsid w:val="00311934"/>
    <w:rsid w:val="003B20B7"/>
    <w:rsid w:val="004610A3"/>
    <w:rsid w:val="004A3EEE"/>
    <w:rsid w:val="0055699E"/>
    <w:rsid w:val="00693298"/>
    <w:rsid w:val="006E5BD9"/>
    <w:rsid w:val="006F2E4B"/>
    <w:rsid w:val="00794B75"/>
    <w:rsid w:val="007B25BE"/>
    <w:rsid w:val="00853B18"/>
    <w:rsid w:val="008A7F7F"/>
    <w:rsid w:val="00940502"/>
    <w:rsid w:val="00944958"/>
    <w:rsid w:val="009F78A8"/>
    <w:rsid w:val="00B94AEE"/>
    <w:rsid w:val="00C14AA9"/>
    <w:rsid w:val="00C47394"/>
    <w:rsid w:val="00CC4D83"/>
    <w:rsid w:val="00CF462B"/>
    <w:rsid w:val="00DD1440"/>
    <w:rsid w:val="00EB4BBF"/>
    <w:rsid w:val="00ED4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EDA8"/>
  <w15:chartTrackingRefBased/>
  <w15:docId w15:val="{0832D68C-9CD2-4E96-A347-F60B3BC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025"/>
    <w:rPr>
      <w:color w:val="0563C1" w:themeColor="hyperlink"/>
      <w:u w:val="single"/>
    </w:rPr>
  </w:style>
  <w:style w:type="character" w:styleId="UnresolvedMention">
    <w:name w:val="Unresolved Mention"/>
    <w:basedOn w:val="DefaultParagraphFont"/>
    <w:uiPriority w:val="99"/>
    <w:semiHidden/>
    <w:unhideWhenUsed/>
    <w:rsid w:val="00ED4025"/>
    <w:rPr>
      <w:color w:val="605E5C"/>
      <w:shd w:val="clear" w:color="auto" w:fill="E1DFDD"/>
    </w:rPr>
  </w:style>
  <w:style w:type="paragraph" w:styleId="Revision">
    <w:name w:val="Revision"/>
    <w:hidden/>
    <w:uiPriority w:val="99"/>
    <w:semiHidden/>
    <w:rsid w:val="002938AC"/>
    <w:pPr>
      <w:spacing w:after="0" w:line="240" w:lineRule="auto"/>
    </w:pPr>
  </w:style>
  <w:style w:type="paragraph" w:customStyle="1" w:styleId="Default">
    <w:name w:val="Default"/>
    <w:rsid w:val="002938A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9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8AC"/>
  </w:style>
  <w:style w:type="paragraph" w:styleId="Footer">
    <w:name w:val="footer"/>
    <w:basedOn w:val="Normal"/>
    <w:link w:val="FooterChar"/>
    <w:uiPriority w:val="99"/>
    <w:unhideWhenUsed/>
    <w:rsid w:val="0029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Fagbemi</dc:creator>
  <cp:lastModifiedBy>Naomi Fagbemi</cp:lastModifiedBy>
  <cp:revision>2</cp:revision>
  <dcterms:created xsi:type="dcterms:W3CDTF">2023-08-08T10:28:00Z</dcterms:created>
  <dcterms:modified xsi:type="dcterms:W3CDTF">2023-08-08T10:28:00Z</dcterms:modified>
</cp:coreProperties>
</file>