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17" w:rsidRPr="00123912" w:rsidRDefault="000B2305">
      <w:pPr>
        <w:rPr>
          <w:b/>
          <w:sz w:val="24"/>
          <w:szCs w:val="24"/>
        </w:rPr>
      </w:pPr>
      <w:r w:rsidRPr="00123912">
        <w:rPr>
          <w:b/>
          <w:sz w:val="24"/>
          <w:szCs w:val="24"/>
        </w:rPr>
        <w:t xml:space="preserve">Blog 14/12/2016 – </w:t>
      </w:r>
      <w:r w:rsidR="00A46240">
        <w:rPr>
          <w:b/>
          <w:sz w:val="24"/>
          <w:szCs w:val="24"/>
        </w:rPr>
        <w:t xml:space="preserve">New Year </w:t>
      </w:r>
      <w:bookmarkStart w:id="0" w:name="_GoBack"/>
      <w:bookmarkEnd w:id="0"/>
      <w:r w:rsidRPr="00123912">
        <w:rPr>
          <w:b/>
          <w:sz w:val="24"/>
          <w:szCs w:val="24"/>
        </w:rPr>
        <w:t>Horror Stories</w:t>
      </w:r>
    </w:p>
    <w:p w:rsidR="000B2305" w:rsidRDefault="000B2305">
      <w:r>
        <w:t xml:space="preserve">At first sight, the financial markets are set fair for 2017, with steady economic growth and inflation under control </w:t>
      </w:r>
      <w:r w:rsidR="00D51CE8">
        <w:t>in</w:t>
      </w:r>
      <w:r>
        <w:t xml:space="preserve"> the major economies. </w:t>
      </w:r>
      <w:r w:rsidR="00894DDC">
        <w:t>Life couldn’t be better … or could it?</w:t>
      </w:r>
      <w:r>
        <w:t xml:space="preserve"> Here are four </w:t>
      </w:r>
      <w:r w:rsidR="00894DDC">
        <w:t xml:space="preserve">potential </w:t>
      </w:r>
      <w:r>
        <w:t xml:space="preserve">horror stories around the world which could </w:t>
      </w:r>
      <w:r w:rsidR="00D51CE8">
        <w:t>foretell</w:t>
      </w:r>
      <w:r>
        <w:t xml:space="preserve"> an unhappy new year.</w:t>
      </w:r>
    </w:p>
    <w:p w:rsidR="000B2305" w:rsidRDefault="000B2305">
      <w:r w:rsidRPr="00894DDC">
        <w:rPr>
          <w:b/>
        </w:rPr>
        <w:t>T</w:t>
      </w:r>
      <w:r w:rsidR="00894DDC">
        <w:rPr>
          <w:b/>
        </w:rPr>
        <w:t>he Apprentice President</w:t>
      </w:r>
      <w:r w:rsidRPr="00894DDC">
        <w:rPr>
          <w:b/>
        </w:rPr>
        <w:t>.</w:t>
      </w:r>
      <w:r>
        <w:t xml:space="preserve"> The Trump Trade has been in vogue since 8th November.  The new president will be inaugurated on 20th January and the markets look forward to corporate tax cuts, $1trn </w:t>
      </w:r>
      <w:r w:rsidR="00894DDC">
        <w:t xml:space="preserve">of </w:t>
      </w:r>
      <w:r>
        <w:t>infrastructure spending and a bonfire of regulations</w:t>
      </w:r>
      <w:r w:rsidR="00894DDC">
        <w:t xml:space="preserve">. This could </w:t>
      </w:r>
      <w:r w:rsidR="00BC33CD">
        <w:t>easily go wrong</w:t>
      </w:r>
      <w:r w:rsidR="00894DDC">
        <w:t>.</w:t>
      </w:r>
    </w:p>
    <w:p w:rsidR="002F5D6D" w:rsidRDefault="002F5D6D">
      <w:r>
        <w:rPr>
          <w:noProof/>
          <w:lang w:eastAsia="en-GB"/>
        </w:rPr>
        <w:drawing>
          <wp:inline distT="0" distB="0" distL="0" distR="0" wp14:anchorId="78D27DF7" wp14:editId="62B354C5">
            <wp:extent cx="4320000" cy="2880000"/>
            <wp:effectExtent l="0" t="0" r="444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94DDC" w:rsidRDefault="00BC33CD">
      <w:r>
        <w:t>On the one hand</w:t>
      </w:r>
      <w:r w:rsidR="00894DDC">
        <w:t xml:space="preserve">, Mr Trump may </w:t>
      </w:r>
      <w:r>
        <w:t xml:space="preserve">be unable to deliver. </w:t>
      </w:r>
      <w:r w:rsidR="00D51CE8">
        <w:t>He</w:t>
      </w:r>
      <w:r>
        <w:t xml:space="preserve"> is a fiscal liberal; Congressional Republicans are fiscal conservatives. When it comes to budget talks, it is unclear how much can be achieved.</w:t>
      </w:r>
      <w:r w:rsidR="00FB52B0">
        <w:t xml:space="preserve"> </w:t>
      </w:r>
      <w:r>
        <w:t xml:space="preserve">On the other hand, he may </w:t>
      </w:r>
      <w:r w:rsidR="00894DDC">
        <w:t>also deliver his promise to impose tariffs and to restrict immigratio</w:t>
      </w:r>
      <w:r w:rsidR="00D51CE8">
        <w:t>n. If so, then he will give</w:t>
      </w:r>
      <w:r w:rsidR="00894DDC">
        <w:t xml:space="preserve"> </w:t>
      </w:r>
      <w:r>
        <w:t xml:space="preserve">to the markets </w:t>
      </w:r>
      <w:r w:rsidR="00894DDC">
        <w:t>with one hand and tak</w:t>
      </w:r>
      <w:r w:rsidR="00D51CE8">
        <w:t>e</w:t>
      </w:r>
      <w:r w:rsidR="00894DDC">
        <w:t xml:space="preserve"> away with the other.</w:t>
      </w:r>
    </w:p>
    <w:p w:rsidR="00894DDC" w:rsidRDefault="00BC33CD">
      <w:r>
        <w:t>And, finally, even</w:t>
      </w:r>
      <w:r w:rsidR="00894DDC">
        <w:t xml:space="preserve"> if he gives but does not take away, then the </w:t>
      </w:r>
      <w:r>
        <w:t xml:space="preserve">result could be an </w:t>
      </w:r>
      <w:r w:rsidR="00894DDC">
        <w:t>over-heat</w:t>
      </w:r>
      <w:r>
        <w:t>ing economy</w:t>
      </w:r>
      <w:r w:rsidR="00D51CE8">
        <w:t>. This could</w:t>
      </w:r>
      <w:r w:rsidR="00FB52B0">
        <w:t xml:space="preserve"> </w:t>
      </w:r>
      <w:r>
        <w:t>push</w:t>
      </w:r>
      <w:r w:rsidR="00894DDC">
        <w:t xml:space="preserve"> the Fed </w:t>
      </w:r>
      <w:r>
        <w:t>in</w:t>
      </w:r>
      <w:r w:rsidR="00894DDC">
        <w:t xml:space="preserve">to more </w:t>
      </w:r>
      <w:r w:rsidR="00FB52B0">
        <w:t>rapid</w:t>
      </w:r>
      <w:r>
        <w:t xml:space="preserve"> interest rate rises and </w:t>
      </w:r>
      <w:r w:rsidR="00D51CE8">
        <w:t>topple</w:t>
      </w:r>
      <w:r>
        <w:t xml:space="preserve"> an over-value</w:t>
      </w:r>
      <w:r w:rsidR="00D51CE8">
        <w:t>d US equity market</w:t>
      </w:r>
      <w:r>
        <w:t>.</w:t>
      </w:r>
    </w:p>
    <w:p w:rsidR="006F662C" w:rsidRDefault="004A2D39">
      <w:r w:rsidRPr="000A20A6">
        <w:rPr>
          <w:b/>
        </w:rPr>
        <w:t xml:space="preserve">Populists </w:t>
      </w:r>
      <w:proofErr w:type="gramStart"/>
      <w:r w:rsidRPr="000A20A6">
        <w:rPr>
          <w:b/>
        </w:rPr>
        <w:t>In</w:t>
      </w:r>
      <w:proofErr w:type="gramEnd"/>
      <w:r w:rsidRPr="000A20A6">
        <w:rPr>
          <w:b/>
        </w:rPr>
        <w:t xml:space="preserve"> Europe.</w:t>
      </w:r>
      <w:r>
        <w:t xml:space="preserve"> The big danger in Europe is politics.</w:t>
      </w:r>
      <w:r w:rsidR="000770E1">
        <w:t xml:space="preserve"> On 15th March, Geer</w:t>
      </w:r>
      <w:r w:rsidR="00D51CE8">
        <w:t>t Wilders’ Party for Freedom could</w:t>
      </w:r>
      <w:r w:rsidR="000770E1">
        <w:t xml:space="preserve"> become the largest party in the Dutch parliament; on 7th</w:t>
      </w:r>
      <w:r w:rsidR="00E2777E">
        <w:t xml:space="preserve"> May, Marine Le Pen could win</w:t>
      </w:r>
      <w:r w:rsidR="000770E1">
        <w:t xml:space="preserve"> the French </w:t>
      </w:r>
      <w:r w:rsidR="00E2777E">
        <w:t>p</w:t>
      </w:r>
      <w:r w:rsidR="000770E1">
        <w:t>residen</w:t>
      </w:r>
      <w:r w:rsidR="00E2777E">
        <w:t>cy</w:t>
      </w:r>
      <w:r w:rsidR="000770E1">
        <w:t xml:space="preserve">; and in September </w:t>
      </w:r>
      <w:r w:rsidR="00FB52B0">
        <w:t>or October,</w:t>
      </w:r>
      <w:r w:rsidR="000770E1">
        <w:t xml:space="preserve"> A</w:t>
      </w:r>
      <w:r w:rsidR="007F22BD">
        <w:t xml:space="preserve">ngela Merkel could be </w:t>
      </w:r>
      <w:r w:rsidR="00E2777E">
        <w:t>ousted</w:t>
      </w:r>
      <w:r w:rsidR="000770E1">
        <w:t xml:space="preserve"> as German </w:t>
      </w:r>
      <w:r w:rsidR="00E2777E">
        <w:t>Chancellor.</w:t>
      </w:r>
    </w:p>
    <w:p w:rsidR="005124E9" w:rsidRDefault="000A20A6">
      <w:r>
        <w:t xml:space="preserve">Current polls suggest that </w:t>
      </w:r>
      <w:r w:rsidR="00D51CE8">
        <w:t>only the first of those</w:t>
      </w:r>
      <w:r w:rsidR="007F22BD">
        <w:t xml:space="preserve"> is likely. But we cannot rule anything out and either of the latter two would scare markets.</w:t>
      </w:r>
      <w:r w:rsidR="006F662C">
        <w:t xml:space="preserve"> </w:t>
      </w:r>
      <w:r w:rsidR="005124E9">
        <w:t>This is not to mention</w:t>
      </w:r>
      <w:r>
        <w:t xml:space="preserve"> problems</w:t>
      </w:r>
      <w:r w:rsidR="006F662C">
        <w:t xml:space="preserve"> in Spain with Catalonia or in Italy with the banks.</w:t>
      </w:r>
    </w:p>
    <w:p w:rsidR="00C61C14" w:rsidRDefault="00E2777E">
      <w:r w:rsidRPr="00E2777E">
        <w:rPr>
          <w:b/>
        </w:rPr>
        <w:t>Brexit Bungling.</w:t>
      </w:r>
      <w:r>
        <w:t xml:space="preserve"> Somehow this seems less of a risk and more of a likel</w:t>
      </w:r>
      <w:r w:rsidR="00D51CE8">
        <w:t>ihood</w:t>
      </w:r>
      <w:r>
        <w:t xml:space="preserve">. </w:t>
      </w:r>
      <w:r w:rsidR="00CA76E0">
        <w:t>The government claims to have a plan but</w:t>
      </w:r>
      <w:r w:rsidR="00C87588">
        <w:t xml:space="preserve"> </w:t>
      </w:r>
      <w:r w:rsidR="00C61C14">
        <w:t>Brexit secretary David Davis</w:t>
      </w:r>
      <w:r w:rsidR="00C87588">
        <w:t xml:space="preserve"> </w:t>
      </w:r>
      <w:r w:rsidR="00C61C14">
        <w:t>will not</w:t>
      </w:r>
      <w:r w:rsidR="0085171A">
        <w:t xml:space="preserve"> tell anyone what it is </w:t>
      </w:r>
      <w:r w:rsidR="00C61C14">
        <w:t xml:space="preserve">until February. In the meantime, </w:t>
      </w:r>
      <w:r w:rsidR="00723E3E">
        <w:t>ministers</w:t>
      </w:r>
      <w:r w:rsidR="00C61C14">
        <w:t xml:space="preserve"> </w:t>
      </w:r>
      <w:r w:rsidR="005C1937">
        <w:t>offer contradictory view</w:t>
      </w:r>
      <w:r w:rsidR="00723E3E">
        <w:t>s.</w:t>
      </w:r>
    </w:p>
    <w:p w:rsidR="00BE4224" w:rsidRDefault="00BE4224">
      <w:r>
        <w:lastRenderedPageBreak/>
        <w:t>Markets do not like u</w:t>
      </w:r>
      <w:r w:rsidR="00C87588">
        <w:t xml:space="preserve">ncertainty and Brexit </w:t>
      </w:r>
      <w:r>
        <w:t xml:space="preserve">is riddled with it. For now, </w:t>
      </w:r>
      <w:r w:rsidR="00FB52B0">
        <w:t>markets assume</w:t>
      </w:r>
      <w:r>
        <w:t xml:space="preserve"> that serious work is going on behind the scenes</w:t>
      </w:r>
      <w:r w:rsidR="00C87588">
        <w:t xml:space="preserve"> and that there will be </w:t>
      </w:r>
      <w:r w:rsidR="00A36718">
        <w:t>a softer rather than harder divorce. The key date, of course, is 31st March.</w:t>
      </w:r>
    </w:p>
    <w:p w:rsidR="00BC33CD" w:rsidRDefault="00A36718">
      <w:r w:rsidRPr="00A54768">
        <w:rPr>
          <w:b/>
        </w:rPr>
        <w:t>China’s Borrowing Habit.</w:t>
      </w:r>
      <w:r>
        <w:t xml:space="preserve"> </w:t>
      </w:r>
      <w:r w:rsidR="005C1937">
        <w:t>China i</w:t>
      </w:r>
      <w:r w:rsidR="00A54768">
        <w:t>s making a difficult transition</w:t>
      </w:r>
      <w:r w:rsidR="005C1937">
        <w:t xml:space="preserve"> from a manufacturing</w:t>
      </w:r>
      <w:r w:rsidR="009A5436">
        <w:t>/</w:t>
      </w:r>
      <w:r w:rsidR="005C1937">
        <w:t>export-led economy to a services</w:t>
      </w:r>
      <w:r w:rsidR="009A5436">
        <w:t>/</w:t>
      </w:r>
      <w:r w:rsidR="005C1937">
        <w:t>consumption-based one. This involves a slowing growth rate and massive reforms.</w:t>
      </w:r>
      <w:r w:rsidR="009A5436">
        <w:t xml:space="preserve"> So far, so good but in the process China’s debt ratio has ballooned to 255%</w:t>
      </w:r>
      <w:r w:rsidR="00FB52B0">
        <w:t xml:space="preserve"> of GDP.</w:t>
      </w:r>
    </w:p>
    <w:p w:rsidR="009A5436" w:rsidRDefault="009A5436">
      <w:r>
        <w:t>We reckon that there is less to worry about than generally reckoned (see our blog post of 3rd November) but, even so, there is a distinct risk of a bad outcome so we include it in our horror stories.</w:t>
      </w:r>
    </w:p>
    <w:p w:rsidR="000B2305" w:rsidRDefault="009A5436">
      <w:r w:rsidRPr="009A5436">
        <w:rPr>
          <w:b/>
        </w:rPr>
        <w:t>Conclusion.</w:t>
      </w:r>
      <w:r>
        <w:t xml:space="preserve"> The economic cycle and </w:t>
      </w:r>
      <w:r w:rsidR="00FB52B0">
        <w:t>equity market upswing</w:t>
      </w:r>
      <w:r>
        <w:t xml:space="preserve"> are looking tired and our monthly risk register is getting longer. Investors should continue to hold risk assets but </w:t>
      </w:r>
      <w:r w:rsidR="00FB52B0">
        <w:t>refrain from irrational exuberance. At some point in 2017, there will be difficult times.</w:t>
      </w:r>
    </w:p>
    <w:sectPr w:rsidR="000B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05"/>
    <w:rsid w:val="000770E1"/>
    <w:rsid w:val="000A20A6"/>
    <w:rsid w:val="000B2305"/>
    <w:rsid w:val="00123912"/>
    <w:rsid w:val="00296ADC"/>
    <w:rsid w:val="002F5D6D"/>
    <w:rsid w:val="004A2D39"/>
    <w:rsid w:val="005124E9"/>
    <w:rsid w:val="005C1937"/>
    <w:rsid w:val="006F662C"/>
    <w:rsid w:val="00723E3E"/>
    <w:rsid w:val="007F22BD"/>
    <w:rsid w:val="0085171A"/>
    <w:rsid w:val="00894DDC"/>
    <w:rsid w:val="009A5436"/>
    <w:rsid w:val="009F2AEA"/>
    <w:rsid w:val="009F2F8D"/>
    <w:rsid w:val="00A36718"/>
    <w:rsid w:val="00A46240"/>
    <w:rsid w:val="00A54768"/>
    <w:rsid w:val="00BC33CD"/>
    <w:rsid w:val="00BE4224"/>
    <w:rsid w:val="00C61C14"/>
    <w:rsid w:val="00C87588"/>
    <w:rsid w:val="00CA76E0"/>
    <w:rsid w:val="00D45688"/>
    <w:rsid w:val="00D51CE8"/>
    <w:rsid w:val="00E2777E"/>
    <w:rsid w:val="00E32017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8D90"/>
  <w15:chartTrackingRefBased/>
  <w15:docId w15:val="{CD33AE46-3A27-454B-96A6-B5E2BC5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OTTUKFS\Users$\dick.ho\Economic%20Forecasts\US\The%20Trump%20Effec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The</a:t>
            </a:r>
            <a:r>
              <a:rPr lang="en-GB" sz="1100" b="1" baseline="0">
                <a:solidFill>
                  <a:sysClr val="windowText" lastClr="000000"/>
                </a:solidFill>
              </a:rPr>
              <a:t> Trump Effect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0.13162037037037036"/>
          <c:w val="0.82883814523184607"/>
          <c:h val="0.60747302420530769"/>
        </c:manualLayout>
      </c:layout>
      <c:lineChart>
        <c:grouping val="standard"/>
        <c:varyColors val="0"/>
        <c:ser>
          <c:idx val="0"/>
          <c:order val="0"/>
          <c:tx>
            <c:strRef>
              <c:f>Sheet1!$H$2</c:f>
              <c:strCache>
                <c:ptCount val="1"/>
                <c:pt idx="0">
                  <c:v>S&amp;P 500</c:v>
                </c:pt>
              </c:strCache>
            </c:strRef>
          </c:tx>
          <c:spPr>
            <a:ln w="44450" cap="rnd">
              <a:solidFill>
                <a:srgbClr val="000D2D"/>
              </a:solidFill>
              <a:round/>
            </a:ln>
            <a:effectLst/>
          </c:spPr>
          <c:marker>
            <c:symbol val="none"/>
          </c:marker>
          <c:cat>
            <c:numRef>
              <c:f>Sheet1!$G$3:$G$59</c:f>
              <c:numCache>
                <c:formatCode>d\-mmm</c:formatCode>
                <c:ptCount val="57"/>
                <c:pt idx="0">
                  <c:v>42646</c:v>
                </c:pt>
                <c:pt idx="1">
                  <c:v>42647</c:v>
                </c:pt>
                <c:pt idx="2">
                  <c:v>42648</c:v>
                </c:pt>
                <c:pt idx="3">
                  <c:v>42649</c:v>
                </c:pt>
                <c:pt idx="4">
                  <c:v>42650</c:v>
                </c:pt>
                <c:pt idx="5">
                  <c:v>42653</c:v>
                </c:pt>
                <c:pt idx="6">
                  <c:v>42654</c:v>
                </c:pt>
                <c:pt idx="7">
                  <c:v>42655</c:v>
                </c:pt>
                <c:pt idx="8">
                  <c:v>42656</c:v>
                </c:pt>
                <c:pt idx="9">
                  <c:v>42657</c:v>
                </c:pt>
                <c:pt idx="10">
                  <c:v>42660</c:v>
                </c:pt>
                <c:pt idx="11">
                  <c:v>42661</c:v>
                </c:pt>
                <c:pt idx="12">
                  <c:v>42662</c:v>
                </c:pt>
                <c:pt idx="13">
                  <c:v>42663</c:v>
                </c:pt>
                <c:pt idx="14">
                  <c:v>42664</c:v>
                </c:pt>
                <c:pt idx="15">
                  <c:v>42667</c:v>
                </c:pt>
                <c:pt idx="16">
                  <c:v>42668</c:v>
                </c:pt>
                <c:pt idx="17">
                  <c:v>42669</c:v>
                </c:pt>
                <c:pt idx="18">
                  <c:v>42670</c:v>
                </c:pt>
                <c:pt idx="19">
                  <c:v>42671</c:v>
                </c:pt>
                <c:pt idx="20">
                  <c:v>42674</c:v>
                </c:pt>
                <c:pt idx="21">
                  <c:v>42675</c:v>
                </c:pt>
                <c:pt idx="22">
                  <c:v>42676</c:v>
                </c:pt>
                <c:pt idx="23">
                  <c:v>42677</c:v>
                </c:pt>
                <c:pt idx="24">
                  <c:v>42678</c:v>
                </c:pt>
                <c:pt idx="25">
                  <c:v>42681</c:v>
                </c:pt>
                <c:pt idx="26">
                  <c:v>42682</c:v>
                </c:pt>
                <c:pt idx="27">
                  <c:v>42683</c:v>
                </c:pt>
                <c:pt idx="28">
                  <c:v>42684</c:v>
                </c:pt>
                <c:pt idx="29">
                  <c:v>42685</c:v>
                </c:pt>
                <c:pt idx="30">
                  <c:v>42688</c:v>
                </c:pt>
                <c:pt idx="31">
                  <c:v>42689</c:v>
                </c:pt>
                <c:pt idx="32">
                  <c:v>42690</c:v>
                </c:pt>
                <c:pt idx="33">
                  <c:v>42691</c:v>
                </c:pt>
                <c:pt idx="34">
                  <c:v>42692</c:v>
                </c:pt>
                <c:pt idx="35">
                  <c:v>42695</c:v>
                </c:pt>
                <c:pt idx="36">
                  <c:v>42696</c:v>
                </c:pt>
                <c:pt idx="37">
                  <c:v>42697</c:v>
                </c:pt>
                <c:pt idx="38">
                  <c:v>42698</c:v>
                </c:pt>
                <c:pt idx="39">
                  <c:v>42699</c:v>
                </c:pt>
                <c:pt idx="40">
                  <c:v>42702</c:v>
                </c:pt>
                <c:pt idx="41">
                  <c:v>42703</c:v>
                </c:pt>
                <c:pt idx="42">
                  <c:v>42704</c:v>
                </c:pt>
                <c:pt idx="43">
                  <c:v>42705</c:v>
                </c:pt>
                <c:pt idx="44">
                  <c:v>42706</c:v>
                </c:pt>
                <c:pt idx="45">
                  <c:v>42709</c:v>
                </c:pt>
                <c:pt idx="46">
                  <c:v>42710</c:v>
                </c:pt>
                <c:pt idx="47">
                  <c:v>42711</c:v>
                </c:pt>
                <c:pt idx="48">
                  <c:v>42712</c:v>
                </c:pt>
                <c:pt idx="49">
                  <c:v>42713</c:v>
                </c:pt>
                <c:pt idx="50">
                  <c:v>42716</c:v>
                </c:pt>
                <c:pt idx="51">
                  <c:v>42717</c:v>
                </c:pt>
                <c:pt idx="52">
                  <c:v>42718</c:v>
                </c:pt>
                <c:pt idx="53">
                  <c:v>42719</c:v>
                </c:pt>
                <c:pt idx="54">
                  <c:v>42720</c:v>
                </c:pt>
                <c:pt idx="55">
                  <c:v>42723</c:v>
                </c:pt>
                <c:pt idx="56">
                  <c:v>42724</c:v>
                </c:pt>
              </c:numCache>
            </c:numRef>
          </c:cat>
          <c:val>
            <c:numRef>
              <c:f>Sheet1!$H$3:$H$59</c:f>
              <c:numCache>
                <c:formatCode>0.0</c:formatCode>
                <c:ptCount val="57"/>
                <c:pt idx="0">
                  <c:v>2161.1999999999998</c:v>
                </c:pt>
                <c:pt idx="1">
                  <c:v>2150.4899999999998</c:v>
                </c:pt>
                <c:pt idx="2">
                  <c:v>2159.73</c:v>
                </c:pt>
                <c:pt idx="3">
                  <c:v>2160.77</c:v>
                </c:pt>
                <c:pt idx="4">
                  <c:v>2153.7399999999998</c:v>
                </c:pt>
                <c:pt idx="5">
                  <c:v>2163.66</c:v>
                </c:pt>
                <c:pt idx="6">
                  <c:v>2136.73</c:v>
                </c:pt>
                <c:pt idx="7">
                  <c:v>2139.1799999999998</c:v>
                </c:pt>
                <c:pt idx="8">
                  <c:v>2132.5500000000002</c:v>
                </c:pt>
                <c:pt idx="9">
                  <c:v>2132.98</c:v>
                </c:pt>
                <c:pt idx="10">
                  <c:v>2126.5</c:v>
                </c:pt>
                <c:pt idx="11">
                  <c:v>2139.6</c:v>
                </c:pt>
                <c:pt idx="12">
                  <c:v>2144.29</c:v>
                </c:pt>
                <c:pt idx="13">
                  <c:v>2141.34</c:v>
                </c:pt>
                <c:pt idx="14">
                  <c:v>2141.16</c:v>
                </c:pt>
                <c:pt idx="15">
                  <c:v>2151.33</c:v>
                </c:pt>
                <c:pt idx="16">
                  <c:v>2143.16</c:v>
                </c:pt>
                <c:pt idx="17">
                  <c:v>2139.4299999999998</c:v>
                </c:pt>
                <c:pt idx="18">
                  <c:v>2133.04</c:v>
                </c:pt>
                <c:pt idx="19">
                  <c:v>2126.41</c:v>
                </c:pt>
                <c:pt idx="20">
                  <c:v>2126.15</c:v>
                </c:pt>
                <c:pt idx="21">
                  <c:v>2111.7199999999998</c:v>
                </c:pt>
                <c:pt idx="22">
                  <c:v>2097.94</c:v>
                </c:pt>
                <c:pt idx="23">
                  <c:v>2088.66</c:v>
                </c:pt>
                <c:pt idx="24">
                  <c:v>2085.1799999999998</c:v>
                </c:pt>
                <c:pt idx="25">
                  <c:v>2131.52</c:v>
                </c:pt>
                <c:pt idx="26">
                  <c:v>2139.56</c:v>
                </c:pt>
                <c:pt idx="27">
                  <c:v>2163.2600000000002</c:v>
                </c:pt>
                <c:pt idx="28">
                  <c:v>2167.48</c:v>
                </c:pt>
                <c:pt idx="29">
                  <c:v>2164.4499999999998</c:v>
                </c:pt>
                <c:pt idx="30">
                  <c:v>2164.1999999999998</c:v>
                </c:pt>
                <c:pt idx="31">
                  <c:v>2180.39</c:v>
                </c:pt>
                <c:pt idx="32">
                  <c:v>2176.94</c:v>
                </c:pt>
                <c:pt idx="33">
                  <c:v>2187.12</c:v>
                </c:pt>
                <c:pt idx="34">
                  <c:v>2181.9</c:v>
                </c:pt>
                <c:pt idx="35">
                  <c:v>2198.1799999999998</c:v>
                </c:pt>
                <c:pt idx="36">
                  <c:v>2202.94</c:v>
                </c:pt>
                <c:pt idx="37">
                  <c:v>2204.7199999999998</c:v>
                </c:pt>
                <c:pt idx="38">
                  <c:v>2204.7199999999998</c:v>
                </c:pt>
                <c:pt idx="39">
                  <c:v>2213.35</c:v>
                </c:pt>
                <c:pt idx="40">
                  <c:v>2201.7199999999998</c:v>
                </c:pt>
                <c:pt idx="41">
                  <c:v>2204.66</c:v>
                </c:pt>
                <c:pt idx="42">
                  <c:v>2198.81</c:v>
                </c:pt>
                <c:pt idx="43">
                  <c:v>2191.08</c:v>
                </c:pt>
                <c:pt idx="44">
                  <c:v>2191.9499999999998</c:v>
                </c:pt>
                <c:pt idx="45">
                  <c:v>2204.71</c:v>
                </c:pt>
                <c:pt idx="46">
                  <c:v>2212.23</c:v>
                </c:pt>
                <c:pt idx="47">
                  <c:v>2241.35</c:v>
                </c:pt>
                <c:pt idx="48">
                  <c:v>2246.19</c:v>
                </c:pt>
                <c:pt idx="49">
                  <c:v>2259.5300000000002</c:v>
                </c:pt>
                <c:pt idx="50">
                  <c:v>2256.96</c:v>
                </c:pt>
                <c:pt idx="51">
                  <c:v>2271.7199999999998</c:v>
                </c:pt>
                <c:pt idx="52">
                  <c:v>2253.2800000000002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2D-4097-84DC-D8D48DDDF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6508256"/>
        <c:axId val="516507928"/>
      </c:lineChart>
      <c:lineChart>
        <c:grouping val="standard"/>
        <c:varyColors val="0"/>
        <c:ser>
          <c:idx val="1"/>
          <c:order val="1"/>
          <c:tx>
            <c:strRef>
              <c:f>Sheet1!$I$2</c:f>
              <c:strCache>
                <c:ptCount val="1"/>
                <c:pt idx="0">
                  <c:v>DXY Dollar Index</c:v>
                </c:pt>
              </c:strCache>
            </c:strRef>
          </c:tx>
          <c:spPr>
            <a:ln w="44450" cap="rnd">
              <a:solidFill>
                <a:srgbClr val="ABA9AA"/>
              </a:solidFill>
              <a:round/>
            </a:ln>
            <a:effectLst/>
          </c:spPr>
          <c:marker>
            <c:symbol val="none"/>
          </c:marker>
          <c:cat>
            <c:numRef>
              <c:f>Sheet1!$G$3:$G$59</c:f>
              <c:numCache>
                <c:formatCode>d\-mmm</c:formatCode>
                <c:ptCount val="57"/>
                <c:pt idx="0">
                  <c:v>42646</c:v>
                </c:pt>
                <c:pt idx="1">
                  <c:v>42647</c:v>
                </c:pt>
                <c:pt idx="2">
                  <c:v>42648</c:v>
                </c:pt>
                <c:pt idx="3">
                  <c:v>42649</c:v>
                </c:pt>
                <c:pt idx="4">
                  <c:v>42650</c:v>
                </c:pt>
                <c:pt idx="5">
                  <c:v>42653</c:v>
                </c:pt>
                <c:pt idx="6">
                  <c:v>42654</c:v>
                </c:pt>
                <c:pt idx="7">
                  <c:v>42655</c:v>
                </c:pt>
                <c:pt idx="8">
                  <c:v>42656</c:v>
                </c:pt>
                <c:pt idx="9">
                  <c:v>42657</c:v>
                </c:pt>
                <c:pt idx="10">
                  <c:v>42660</c:v>
                </c:pt>
                <c:pt idx="11">
                  <c:v>42661</c:v>
                </c:pt>
                <c:pt idx="12">
                  <c:v>42662</c:v>
                </c:pt>
                <c:pt idx="13">
                  <c:v>42663</c:v>
                </c:pt>
                <c:pt idx="14">
                  <c:v>42664</c:v>
                </c:pt>
                <c:pt idx="15">
                  <c:v>42667</c:v>
                </c:pt>
                <c:pt idx="16">
                  <c:v>42668</c:v>
                </c:pt>
                <c:pt idx="17">
                  <c:v>42669</c:v>
                </c:pt>
                <c:pt idx="18">
                  <c:v>42670</c:v>
                </c:pt>
                <c:pt idx="19">
                  <c:v>42671</c:v>
                </c:pt>
                <c:pt idx="20">
                  <c:v>42674</c:v>
                </c:pt>
                <c:pt idx="21">
                  <c:v>42675</c:v>
                </c:pt>
                <c:pt idx="22">
                  <c:v>42676</c:v>
                </c:pt>
                <c:pt idx="23">
                  <c:v>42677</c:v>
                </c:pt>
                <c:pt idx="24">
                  <c:v>42678</c:v>
                </c:pt>
                <c:pt idx="25">
                  <c:v>42681</c:v>
                </c:pt>
                <c:pt idx="26">
                  <c:v>42682</c:v>
                </c:pt>
                <c:pt idx="27">
                  <c:v>42683</c:v>
                </c:pt>
                <c:pt idx="28">
                  <c:v>42684</c:v>
                </c:pt>
                <c:pt idx="29">
                  <c:v>42685</c:v>
                </c:pt>
                <c:pt idx="30">
                  <c:v>42688</c:v>
                </c:pt>
                <c:pt idx="31">
                  <c:v>42689</c:v>
                </c:pt>
                <c:pt idx="32">
                  <c:v>42690</c:v>
                </c:pt>
                <c:pt idx="33">
                  <c:v>42691</c:v>
                </c:pt>
                <c:pt idx="34">
                  <c:v>42692</c:v>
                </c:pt>
                <c:pt idx="35">
                  <c:v>42695</c:v>
                </c:pt>
                <c:pt idx="36">
                  <c:v>42696</c:v>
                </c:pt>
                <c:pt idx="37">
                  <c:v>42697</c:v>
                </c:pt>
                <c:pt idx="38">
                  <c:v>42698</c:v>
                </c:pt>
                <c:pt idx="39">
                  <c:v>42699</c:v>
                </c:pt>
                <c:pt idx="40">
                  <c:v>42702</c:v>
                </c:pt>
                <c:pt idx="41">
                  <c:v>42703</c:v>
                </c:pt>
                <c:pt idx="42">
                  <c:v>42704</c:v>
                </c:pt>
                <c:pt idx="43">
                  <c:v>42705</c:v>
                </c:pt>
                <c:pt idx="44">
                  <c:v>42706</c:v>
                </c:pt>
                <c:pt idx="45">
                  <c:v>42709</c:v>
                </c:pt>
                <c:pt idx="46">
                  <c:v>42710</c:v>
                </c:pt>
                <c:pt idx="47">
                  <c:v>42711</c:v>
                </c:pt>
                <c:pt idx="48">
                  <c:v>42712</c:v>
                </c:pt>
                <c:pt idx="49">
                  <c:v>42713</c:v>
                </c:pt>
                <c:pt idx="50">
                  <c:v>42716</c:v>
                </c:pt>
                <c:pt idx="51">
                  <c:v>42717</c:v>
                </c:pt>
                <c:pt idx="52">
                  <c:v>42718</c:v>
                </c:pt>
                <c:pt idx="53">
                  <c:v>42719</c:v>
                </c:pt>
                <c:pt idx="54">
                  <c:v>42720</c:v>
                </c:pt>
                <c:pt idx="55">
                  <c:v>42723</c:v>
                </c:pt>
                <c:pt idx="56">
                  <c:v>42724</c:v>
                </c:pt>
              </c:numCache>
            </c:numRef>
          </c:cat>
          <c:val>
            <c:numRef>
              <c:f>Sheet1!$I$3:$I$59</c:f>
              <c:numCache>
                <c:formatCode>0.0</c:formatCode>
                <c:ptCount val="57"/>
                <c:pt idx="0">
                  <c:v>95.694999999999993</c:v>
                </c:pt>
                <c:pt idx="1">
                  <c:v>96.168999999999997</c:v>
                </c:pt>
                <c:pt idx="2">
                  <c:v>96.125</c:v>
                </c:pt>
                <c:pt idx="3">
                  <c:v>96.765000000000001</c:v>
                </c:pt>
                <c:pt idx="4">
                  <c:v>96.632000000000005</c:v>
                </c:pt>
                <c:pt idx="5">
                  <c:v>96.929000000000002</c:v>
                </c:pt>
                <c:pt idx="6">
                  <c:v>97.69</c:v>
                </c:pt>
                <c:pt idx="7">
                  <c:v>97.965999999999994</c:v>
                </c:pt>
                <c:pt idx="8">
                  <c:v>97.516000000000005</c:v>
                </c:pt>
                <c:pt idx="9">
                  <c:v>98.019000000000005</c:v>
                </c:pt>
                <c:pt idx="10">
                  <c:v>97.888000000000005</c:v>
                </c:pt>
                <c:pt idx="11">
                  <c:v>97.894999999999996</c:v>
                </c:pt>
                <c:pt idx="12">
                  <c:v>97.92</c:v>
                </c:pt>
                <c:pt idx="13">
                  <c:v>98.314999999999998</c:v>
                </c:pt>
                <c:pt idx="14">
                  <c:v>98.694999999999993</c:v>
                </c:pt>
                <c:pt idx="15">
                  <c:v>98.756</c:v>
                </c:pt>
                <c:pt idx="16">
                  <c:v>98.718999999999994</c:v>
                </c:pt>
                <c:pt idx="17">
                  <c:v>98.629000000000005</c:v>
                </c:pt>
                <c:pt idx="18">
                  <c:v>98.888000000000005</c:v>
                </c:pt>
                <c:pt idx="19">
                  <c:v>98.347999999999999</c:v>
                </c:pt>
                <c:pt idx="20">
                  <c:v>98.444999999999993</c:v>
                </c:pt>
                <c:pt idx="21">
                  <c:v>97.698999999999998</c:v>
                </c:pt>
                <c:pt idx="22">
                  <c:v>97.397999999999996</c:v>
                </c:pt>
                <c:pt idx="23">
                  <c:v>97.156999999999996</c:v>
                </c:pt>
                <c:pt idx="24">
                  <c:v>97.064999999999998</c:v>
                </c:pt>
                <c:pt idx="25">
                  <c:v>97.781000000000006</c:v>
                </c:pt>
                <c:pt idx="26">
                  <c:v>97.861000000000004</c:v>
                </c:pt>
                <c:pt idx="27">
                  <c:v>98.504000000000005</c:v>
                </c:pt>
                <c:pt idx="28">
                  <c:v>98.784999999999997</c:v>
                </c:pt>
                <c:pt idx="29">
                  <c:v>99.06</c:v>
                </c:pt>
                <c:pt idx="30">
                  <c:v>100.11</c:v>
                </c:pt>
                <c:pt idx="31">
                  <c:v>100.23</c:v>
                </c:pt>
                <c:pt idx="32">
                  <c:v>100.41</c:v>
                </c:pt>
                <c:pt idx="33">
                  <c:v>100.89</c:v>
                </c:pt>
                <c:pt idx="34">
                  <c:v>101.21</c:v>
                </c:pt>
                <c:pt idx="35">
                  <c:v>101.05</c:v>
                </c:pt>
                <c:pt idx="36">
                  <c:v>101.04</c:v>
                </c:pt>
                <c:pt idx="37">
                  <c:v>101.7</c:v>
                </c:pt>
                <c:pt idx="38">
                  <c:v>101.7</c:v>
                </c:pt>
                <c:pt idx="39">
                  <c:v>101.49</c:v>
                </c:pt>
                <c:pt idx="40">
                  <c:v>101.33</c:v>
                </c:pt>
                <c:pt idx="41">
                  <c:v>100.93</c:v>
                </c:pt>
                <c:pt idx="42">
                  <c:v>101.5</c:v>
                </c:pt>
                <c:pt idx="43">
                  <c:v>101.04</c:v>
                </c:pt>
                <c:pt idx="44">
                  <c:v>100.77</c:v>
                </c:pt>
                <c:pt idx="45">
                  <c:v>100.09</c:v>
                </c:pt>
                <c:pt idx="46">
                  <c:v>100.49</c:v>
                </c:pt>
                <c:pt idx="47">
                  <c:v>100.23</c:v>
                </c:pt>
                <c:pt idx="48">
                  <c:v>101.1</c:v>
                </c:pt>
                <c:pt idx="49">
                  <c:v>101.59</c:v>
                </c:pt>
                <c:pt idx="50">
                  <c:v>101.03</c:v>
                </c:pt>
                <c:pt idx="51">
                  <c:v>101.07</c:v>
                </c:pt>
                <c:pt idx="52">
                  <c:v>101.76</c:v>
                </c:pt>
                <c:pt idx="53">
                  <c:v>102.43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2D-4097-84DC-D8D48DDDF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9961168"/>
        <c:axId val="519951984"/>
      </c:lineChart>
      <c:dateAx>
        <c:axId val="516508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800" i="1"/>
                  <a:t>Source:</a:t>
                </a:r>
                <a:r>
                  <a:rPr lang="en-GB" sz="800" i="1" baseline="0"/>
                  <a:t> Bloomberg</a:t>
                </a:r>
                <a:endParaRPr lang="en-GB" sz="800" i="1"/>
              </a:p>
            </c:rich>
          </c:tx>
          <c:layout>
            <c:manualLayout>
              <c:xMode val="edge"/>
              <c:yMode val="edge"/>
              <c:x val="2.8041557305336834E-2"/>
              <c:y val="0.920925196850393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d\-m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6507928"/>
        <c:crosses val="autoZero"/>
        <c:auto val="1"/>
        <c:lblOffset val="100"/>
        <c:baseTimeUnit val="days"/>
      </c:dateAx>
      <c:valAx>
        <c:axId val="516507928"/>
        <c:scaling>
          <c:orientation val="minMax"/>
          <c:min val="20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6508256"/>
        <c:crosses val="autoZero"/>
        <c:crossBetween val="between"/>
      </c:valAx>
      <c:valAx>
        <c:axId val="519951984"/>
        <c:scaling>
          <c:orientation val="minMax"/>
          <c:min val="95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961168"/>
        <c:crosses val="max"/>
        <c:crossBetween val="between"/>
      </c:valAx>
      <c:dateAx>
        <c:axId val="519961168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519951984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510498687664039"/>
          <c:y val="0.90335593467483233"/>
          <c:w val="0.49131481481481482"/>
          <c:h val="7.4414583333333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0.475</cdr:x>
      <cdr:y>0.22917</cdr:y>
    </cdr:from>
    <cdr:to>
      <cdr:x>0.48125</cdr:x>
      <cdr:y>0.73264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>
          <a:off x="2171700" y="628650"/>
          <a:ext cx="28575" cy="1381125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</cdr:x>
      <cdr:y>0.14583</cdr:y>
    </cdr:from>
    <cdr:to>
      <cdr:x>0.60625</cdr:x>
      <cdr:y>0.20833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828800" y="400050"/>
          <a:ext cx="942975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900" i="1"/>
            <a:t>Election Day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Howard</dc:creator>
  <cp:keywords/>
  <dc:description/>
  <cp:lastModifiedBy>Dick Howard</cp:lastModifiedBy>
  <cp:revision>18</cp:revision>
  <cp:lastPrinted>2016-12-15T09:50:00Z</cp:lastPrinted>
  <dcterms:created xsi:type="dcterms:W3CDTF">2016-12-14T11:04:00Z</dcterms:created>
  <dcterms:modified xsi:type="dcterms:W3CDTF">2016-12-15T09:52:00Z</dcterms:modified>
</cp:coreProperties>
</file>